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206;width:3247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2;top:8137;width:3258;height:2849" type="#_x0000_t75" id="docshape5" stroked="false">
              <v:imagedata r:id="rId6" o:title=""/>
            </v:shape>
            <v:shape style="position:absolute;left:7807;top:8142;width:3248;height:2825" id="docshape6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7" coordorigin="7790,2238" coordsize="3273,2834">
            <v:shape style="position:absolute;left:7895;top:2798;width:3024;height:2124" type="#_x0000_t75" id="docshape8" stroked="false">
              <v:imagedata r:id="rId7" o:title=""/>
            </v:shape>
            <v:shape style="position:absolute;left:7795;top:2243;width:3263;height:2824" id="docshape9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Service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tray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spacing w:val="-2"/>
          <w:u w:val="thick" w:color="131413"/>
        </w:rPr>
        <w:t>“Solid“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8"/>
        <w:ind w:left="110" w:right="2581"/>
      </w:pPr>
      <w:r>
        <w:rPr>
          <w:color w:val="131413"/>
        </w:rPr>
        <w:t>This</w:t>
      </w:r>
      <w:r>
        <w:rPr>
          <w:color w:val="131413"/>
          <w:spacing w:val="-8"/>
        </w:rPr>
        <w:t> </w:t>
      </w:r>
      <w:r>
        <w:rPr>
          <w:color w:val="131413"/>
        </w:rPr>
        <w:t>This</w:t>
      </w:r>
      <w:r>
        <w:rPr>
          <w:color w:val="131413"/>
          <w:spacing w:val="-4"/>
        </w:rPr>
        <w:t> </w:t>
      </w:r>
      <w:r>
        <w:rPr>
          <w:color w:val="131413"/>
        </w:rPr>
        <w:t>service</w:t>
      </w:r>
      <w:r>
        <w:rPr>
          <w:color w:val="131413"/>
          <w:spacing w:val="-4"/>
        </w:rPr>
        <w:t> </w:t>
      </w:r>
      <w:r>
        <w:rPr>
          <w:color w:val="131413"/>
        </w:rPr>
        <w:t>tray</w:t>
      </w:r>
      <w:r>
        <w:rPr>
          <w:color w:val="131413"/>
          <w:spacing w:val="-4"/>
        </w:rPr>
        <w:t> </w:t>
      </w:r>
      <w:r>
        <w:rPr>
          <w:color w:val="131413"/>
        </w:rPr>
        <w:t>with</w:t>
      </w:r>
      <w:r>
        <w:rPr>
          <w:color w:val="131413"/>
          <w:spacing w:val="-5"/>
        </w:rPr>
        <w:t> </w:t>
      </w:r>
      <w:r>
        <w:rPr>
          <w:color w:val="131413"/>
        </w:rPr>
        <w:t>integrated</w:t>
      </w:r>
      <w:r>
        <w:rPr>
          <w:color w:val="131413"/>
          <w:spacing w:val="-5"/>
        </w:rPr>
        <w:t> </w:t>
      </w:r>
      <w:r>
        <w:rPr>
          <w:color w:val="131413"/>
        </w:rPr>
        <w:t>separations</w:t>
      </w:r>
      <w:r>
        <w:rPr>
          <w:color w:val="131413"/>
          <w:spacing w:val="-4"/>
        </w:rPr>
        <w:t> </w:t>
      </w:r>
      <w:r>
        <w:rPr>
          <w:color w:val="131413"/>
        </w:rPr>
        <w:t>is</w:t>
      </w:r>
      <w:r>
        <w:rPr>
          <w:color w:val="131413"/>
          <w:spacing w:val="-5"/>
        </w:rPr>
        <w:t> </w:t>
      </w:r>
      <w:r>
        <w:rPr>
          <w:color w:val="131413"/>
        </w:rPr>
        <w:t>perfectly</w:t>
      </w:r>
      <w:r>
        <w:rPr>
          <w:color w:val="131413"/>
          <w:spacing w:val="-5"/>
        </w:rPr>
        <w:t> </w:t>
      </w:r>
      <w:r>
        <w:rPr>
          <w:color w:val="131413"/>
        </w:rPr>
        <w:t>suitable for the service of small dishes at the pool, the beach or in the room.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110" w:right="2581"/>
      </w:pPr>
      <w:r>
        <w:rPr>
          <w:color w:val="131413"/>
        </w:rPr>
        <w:t>The major compartment has been designed for plates with a max. diameter</w:t>
      </w:r>
      <w:r>
        <w:rPr>
          <w:color w:val="131413"/>
          <w:spacing w:val="-5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up</w:t>
      </w:r>
      <w:r>
        <w:rPr>
          <w:color w:val="131413"/>
          <w:spacing w:val="-5"/>
        </w:rPr>
        <w:t> </w:t>
      </w:r>
      <w:r>
        <w:rPr>
          <w:color w:val="131413"/>
        </w:rPr>
        <w:t>to</w:t>
      </w:r>
      <w:r>
        <w:rPr>
          <w:color w:val="131413"/>
          <w:spacing w:val="-4"/>
        </w:rPr>
        <w:t> </w:t>
      </w:r>
      <w:r>
        <w:rPr>
          <w:color w:val="131413"/>
        </w:rPr>
        <w:t>29</w:t>
      </w:r>
      <w:r>
        <w:rPr>
          <w:color w:val="131413"/>
          <w:spacing w:val="-5"/>
        </w:rPr>
        <w:t> </w:t>
      </w:r>
      <w:r>
        <w:rPr>
          <w:color w:val="131413"/>
        </w:rPr>
        <w:t>cm,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lateral</w:t>
      </w:r>
      <w:r>
        <w:rPr>
          <w:color w:val="131413"/>
          <w:spacing w:val="-5"/>
        </w:rPr>
        <w:t> </w:t>
      </w:r>
      <w:r>
        <w:rPr>
          <w:color w:val="131413"/>
        </w:rPr>
        <w:t>separation</w:t>
      </w:r>
      <w:r>
        <w:rPr>
          <w:color w:val="131413"/>
          <w:spacing w:val="-4"/>
        </w:rPr>
        <w:t> </w:t>
      </w:r>
      <w:r>
        <w:rPr>
          <w:color w:val="131413"/>
        </w:rPr>
        <w:t>offers</w:t>
      </w:r>
      <w:r>
        <w:rPr>
          <w:color w:val="131413"/>
          <w:spacing w:val="-5"/>
        </w:rPr>
        <w:t> </w:t>
      </w:r>
      <w:r>
        <w:rPr>
          <w:color w:val="131413"/>
        </w:rPr>
        <w:t>sufficient</w:t>
      </w:r>
      <w:r>
        <w:rPr>
          <w:color w:val="131413"/>
          <w:spacing w:val="-4"/>
        </w:rPr>
        <w:t> </w:t>
      </w:r>
      <w:r>
        <w:rPr>
          <w:color w:val="131413"/>
        </w:rPr>
        <w:t>space for cutlery and napkin.</w:t>
      </w:r>
      <w:r>
        <w:rPr>
          <w:color w:val="131413"/>
          <w:spacing w:val="-5"/>
        </w:rPr>
        <w:t> </w:t>
      </w:r>
      <w:r>
        <w:rPr>
          <w:color w:val="131413"/>
        </w:rPr>
        <w:t>Also insertion bowls with a max. width of 7.5 cm find space and thus can be used for dips, salad and other side </w:t>
      </w:r>
      <w:r>
        <w:rPr>
          <w:color w:val="131413"/>
          <w:spacing w:val="-2"/>
        </w:rPr>
        <w:t>dishes.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3074"/>
      </w:pPr>
      <w:r>
        <w:rPr>
          <w:color w:val="131413"/>
        </w:rPr>
        <w:t>The trays are equipped with integrated grip holes and they are stackable. Finger joints at the corners, non-skid rubber feet and</w:t>
      </w:r>
      <w:r>
        <w:rPr>
          <w:color w:val="131413"/>
          <w:spacing w:val="40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food-safe</w:t>
      </w:r>
      <w:r>
        <w:rPr>
          <w:color w:val="131413"/>
          <w:spacing w:val="-3"/>
        </w:rPr>
        <w:t> </w:t>
      </w:r>
      <w:r>
        <w:rPr>
          <w:color w:val="131413"/>
        </w:rPr>
        <w:t>sealing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solid</w:t>
      </w:r>
      <w:r>
        <w:rPr>
          <w:color w:val="131413"/>
          <w:spacing w:val="-3"/>
        </w:rPr>
        <w:t> </w:t>
      </w:r>
      <w:r>
        <w:rPr>
          <w:color w:val="131413"/>
        </w:rPr>
        <w:t>walnut</w:t>
      </w:r>
      <w:r>
        <w:rPr>
          <w:color w:val="131413"/>
          <w:spacing w:val="-4"/>
        </w:rPr>
        <w:t> </w:t>
      </w:r>
      <w:r>
        <w:rPr>
          <w:color w:val="131413"/>
        </w:rPr>
        <w:t>wood</w:t>
      </w:r>
      <w:r>
        <w:rPr>
          <w:color w:val="131413"/>
          <w:spacing w:val="-4"/>
        </w:rPr>
        <w:t> </w:t>
      </w:r>
      <w:r>
        <w:rPr>
          <w:color w:val="131413"/>
        </w:rPr>
        <w:t>fulfill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high</w:t>
      </w:r>
      <w:r>
        <w:rPr>
          <w:color w:val="131413"/>
          <w:spacing w:val="-4"/>
        </w:rPr>
        <w:t> </w:t>
      </w:r>
      <w:r>
        <w:rPr>
          <w:color w:val="131413"/>
        </w:rPr>
        <w:t>quality standards which are valid for all items of the “Solid” range.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5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861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2022-03-29T16:12:15Z</dcterms:created>
  <dcterms:modified xsi:type="dcterms:W3CDTF">2022-03-29T16:12:15Z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2022-03-29T00:00:00Z</vt:filetime>
  </property>
</Properties>
</file>