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02;top:5206;width:3236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997;top:2894;width:2879;height:1903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“Luxor”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95"/>
      </w:pPr>
      <w:r>
        <w:rPr>
          <w:color w:val="131413"/>
        </w:rPr>
        <w:t>The shimmering displays of the „Luxor“ series enchant by the play of</w:t>
      </w:r>
      <w:r>
        <w:rPr>
          <w:color w:val="131413"/>
          <w:spacing w:val="-59"/>
        </w:rPr>
        <w:t> </w:t>
      </w:r>
      <w:r>
        <w:rPr>
          <w:color w:val="131413"/>
        </w:rPr>
        <w:t>colours of golden shades in variable nuances. This effect is created</w:t>
      </w:r>
      <w:r>
        <w:rPr>
          <w:color w:val="131413"/>
          <w:spacing w:val="1"/>
        </w:rPr>
        <w:t> </w:t>
      </w:r>
      <w:r>
        <w:rPr>
          <w:color w:val="131413"/>
        </w:rPr>
        <w:t>by high-quality shell imitations, which are arranged fan-shaped on a</w:t>
      </w:r>
      <w:r>
        <w:rPr>
          <w:color w:val="131413"/>
          <w:spacing w:val="1"/>
        </w:rPr>
        <w:t> </w:t>
      </w:r>
      <w:r>
        <w:rPr>
          <w:color w:val="131413"/>
        </w:rPr>
        <w:t>fibreglass base in sophisticated handcrafting. The honed and highly</w:t>
      </w:r>
      <w:r>
        <w:rPr>
          <w:color w:val="131413"/>
          <w:spacing w:val="1"/>
        </w:rPr>
        <w:t> </w:t>
      </w:r>
      <w:r>
        <w:rPr>
          <w:color w:val="131413"/>
        </w:rPr>
        <w:t>polished multiple sealing with resin (Polyresin), emphasizes the</w:t>
      </w:r>
      <w:r>
        <w:rPr>
          <w:color w:val="131413"/>
          <w:spacing w:val="1"/>
        </w:rPr>
        <w:t> </w:t>
      </w:r>
      <w:r>
        <w:rPr>
          <w:color w:val="131413"/>
        </w:rPr>
        <w:t>pattern and the pearlescent shine of the gold-coloured discs and</w:t>
      </w:r>
      <w:r>
        <w:rPr>
          <w:color w:val="131413"/>
          <w:spacing w:val="1"/>
        </w:rPr>
        <w:t> </w:t>
      </w:r>
      <w:r>
        <w:rPr>
          <w:color w:val="131413"/>
        </w:rPr>
        <w:t>provides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surface with</w:t>
      </w:r>
      <w:r>
        <w:rPr>
          <w:color w:val="131413"/>
          <w:spacing w:val="-2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striking depth</w:t>
      </w:r>
      <w:r>
        <w:rPr>
          <w:color w:val="131413"/>
          <w:spacing w:val="-2"/>
        </w:rPr>
        <w:t> </w:t>
      </w:r>
      <w:r>
        <w:rPr>
          <w:color w:val="131413"/>
        </w:rPr>
        <w:t>effect.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95"/>
      </w:pPr>
      <w:r>
        <w:rPr>
          <w:color w:val="131413"/>
        </w:rPr>
        <w:t>The buffet cuboids are available in heights of 8, 16 and 24 cm and</w:t>
      </w:r>
      <w:r>
        <w:rPr>
          <w:color w:val="131413"/>
          <w:spacing w:val="1"/>
        </w:rPr>
        <w:t> </w:t>
      </w:r>
      <w:r>
        <w:rPr>
          <w:color w:val="131413"/>
        </w:rPr>
        <w:t>are therefore compatible with many other displays of the Zieher</w:t>
      </w:r>
      <w:r>
        <w:rPr>
          <w:color w:val="131413"/>
          <w:spacing w:val="1"/>
        </w:rPr>
        <w:t> </w:t>
      </w:r>
      <w:r>
        <w:rPr>
          <w:color w:val="131413"/>
        </w:rPr>
        <w:t>system. The 38 x 38 cm large bearing surface can be used directly</w:t>
      </w:r>
      <w:r>
        <w:rPr>
          <w:color w:val="131413"/>
          <w:spacing w:val="1"/>
        </w:rPr>
        <w:t> </w:t>
      </w:r>
      <w:r>
        <w:rPr>
          <w:color w:val="131413"/>
        </w:rPr>
        <w:t>for</w:t>
      </w:r>
      <w:r>
        <w:rPr>
          <w:color w:val="131413"/>
          <w:spacing w:val="-4"/>
        </w:rPr>
        <w:t> </w:t>
      </w:r>
      <w:r>
        <w:rPr>
          <w:color w:val="131413"/>
        </w:rPr>
        <w:t>presentation</w:t>
      </w:r>
      <w:r>
        <w:rPr>
          <w:color w:val="131413"/>
          <w:spacing w:val="-4"/>
        </w:rPr>
        <w:t> </w:t>
      </w:r>
      <w:r>
        <w:rPr>
          <w:color w:val="131413"/>
        </w:rPr>
        <w:t>purposes</w:t>
      </w:r>
      <w:r>
        <w:rPr>
          <w:color w:val="131413"/>
          <w:spacing w:val="-5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5"/>
        </w:rPr>
        <w:t> </w:t>
      </w:r>
      <w:r>
        <w:rPr>
          <w:color w:val="131413"/>
        </w:rPr>
        <w:t>basis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platters</w:t>
      </w:r>
      <w:r>
        <w:rPr>
          <w:color w:val="131413"/>
          <w:spacing w:val="-4"/>
        </w:rPr>
        <w:t> </w:t>
      </w:r>
      <w:r>
        <w:rPr>
          <w:color w:val="131413"/>
        </w:rPr>
        <w:t>or</w:t>
      </w:r>
      <w:r>
        <w:rPr>
          <w:color w:val="131413"/>
          <w:spacing w:val="-5"/>
        </w:rPr>
        <w:t> </w:t>
      </w:r>
      <w:r>
        <w:rPr>
          <w:color w:val="131413"/>
        </w:rPr>
        <w:t>stairs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58"/>
        </w:rPr>
        <w:t> </w:t>
      </w:r>
      <w:r>
        <w:rPr>
          <w:color w:val="131413"/>
        </w:rPr>
        <w:t>various kinds.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58"/>
      </w:pPr>
      <w:r>
        <w:rPr>
          <w:color w:val="131413"/>
        </w:rPr>
        <w:t>„Luxor“ adds a touch of extravagance to both the modern and classic</w:t>
      </w:r>
      <w:r>
        <w:rPr>
          <w:color w:val="131413"/>
          <w:spacing w:val="-59"/>
        </w:rPr>
        <w:t> </w:t>
      </w:r>
      <w:r>
        <w:rPr>
          <w:color w:val="131413"/>
        </w:rPr>
        <w:t>ambience,</w:t>
      </w:r>
      <w:r>
        <w:rPr>
          <w:color w:val="131413"/>
          <w:spacing w:val="-3"/>
        </w:rPr>
        <w:t> </w:t>
      </w:r>
      <w:r>
        <w:rPr>
          <w:color w:val="131413"/>
        </w:rPr>
        <w:t>setting</w:t>
      </w:r>
      <w:r>
        <w:rPr>
          <w:color w:val="131413"/>
          <w:spacing w:val="-2"/>
        </w:rPr>
        <w:t> </w:t>
      </w:r>
      <w:r>
        <w:rPr>
          <w:color w:val="131413"/>
        </w:rPr>
        <w:t>extraordinary</w:t>
      </w:r>
      <w:r>
        <w:rPr>
          <w:color w:val="131413"/>
          <w:spacing w:val="-3"/>
        </w:rPr>
        <w:t> </w:t>
      </w:r>
      <w:r>
        <w:rPr>
          <w:color w:val="131413"/>
        </w:rPr>
        <w:t>accents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any</w:t>
      </w:r>
      <w:r>
        <w:rPr>
          <w:color w:val="131413"/>
          <w:spacing w:val="-3"/>
        </w:rPr>
        <w:t> </w:t>
      </w:r>
      <w:r>
        <w:rPr>
          <w:color w:val="131413"/>
        </w:rPr>
        <w:t>environment.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5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87" w:right="3748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2022-02-17T16:57:43Z</dcterms:created>
  <dcterms:modified xsi:type="dcterms:W3CDTF">2022-02-17T16:57:43Z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