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318;top:5389;width:2293;height:2643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494;width:3264;height:2573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Der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u w:val="thick" w:color="131413"/>
        </w:rPr>
        <w:t>„Splash“-Effekt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929"/>
        <w:jc w:val="both"/>
      </w:pPr>
      <w:r>
        <w:rPr>
          <w:color w:val="131413"/>
        </w:rPr>
        <w:t>Die Dynamik der Bewegung – zum Standbild erstarrt! Die Schalen</w:t>
      </w:r>
      <w:r>
        <w:rPr>
          <w:color w:val="131413"/>
          <w:spacing w:val="-59"/>
        </w:rPr>
        <w:t> </w:t>
      </w:r>
      <w:r>
        <w:rPr>
          <w:color w:val="131413"/>
        </w:rPr>
        <w:t>der Serie „Splash“ versprühen durch ihre verspielte Optik ein ganz</w:t>
      </w:r>
      <w:r>
        <w:rPr>
          <w:color w:val="131413"/>
          <w:spacing w:val="-59"/>
        </w:rPr>
        <w:t> </w:t>
      </w:r>
      <w:r>
        <w:rPr>
          <w:color w:val="131413"/>
        </w:rPr>
        <w:t>besonderes</w:t>
      </w:r>
      <w:r>
        <w:rPr>
          <w:color w:val="131413"/>
          <w:spacing w:val="-2"/>
        </w:rPr>
        <w:t> </w:t>
      </w:r>
      <w:r>
        <w:rPr>
          <w:color w:val="131413"/>
        </w:rPr>
        <w:t>Flair.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952"/>
        <w:jc w:val="both"/>
      </w:pPr>
      <w:r>
        <w:rPr>
          <w:color w:val="131413"/>
        </w:rPr>
        <w:t>Ob</w:t>
      </w:r>
      <w:r>
        <w:rPr>
          <w:color w:val="131413"/>
          <w:spacing w:val="-2"/>
        </w:rPr>
        <w:t> </w:t>
      </w:r>
      <w:r>
        <w:rPr>
          <w:color w:val="131413"/>
        </w:rPr>
        <w:t>als</w:t>
      </w:r>
      <w:r>
        <w:rPr>
          <w:color w:val="131413"/>
          <w:spacing w:val="-2"/>
        </w:rPr>
        <w:t> </w:t>
      </w:r>
      <w:r>
        <w:rPr>
          <w:color w:val="131413"/>
        </w:rPr>
        <w:t>Obstschale</w:t>
      </w:r>
      <w:r>
        <w:rPr>
          <w:color w:val="131413"/>
          <w:spacing w:val="-1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3"/>
        </w:rPr>
        <w:t> </w:t>
      </w:r>
      <w:r>
        <w:rPr>
          <w:color w:val="131413"/>
        </w:rPr>
        <w:t>großen,</w:t>
      </w:r>
      <w:r>
        <w:rPr>
          <w:color w:val="131413"/>
          <w:spacing w:val="-2"/>
        </w:rPr>
        <w:t> </w:t>
      </w:r>
      <w:r>
        <w:rPr>
          <w:color w:val="131413"/>
        </w:rPr>
        <w:t>für</w:t>
      </w:r>
      <w:r>
        <w:rPr>
          <w:color w:val="131413"/>
          <w:spacing w:val="-13"/>
        </w:rPr>
        <w:t> </w:t>
      </w:r>
      <w:r>
        <w:rPr>
          <w:color w:val="131413"/>
        </w:rPr>
        <w:t>Amuse</w:t>
      </w:r>
      <w:r>
        <w:rPr>
          <w:color w:val="131413"/>
          <w:spacing w:val="-1"/>
        </w:rPr>
        <w:t> </w:t>
      </w:r>
      <w:r>
        <w:rPr>
          <w:color w:val="131413"/>
        </w:rPr>
        <w:t>Gueule</w:t>
      </w:r>
      <w:r>
        <w:rPr>
          <w:color w:val="131413"/>
          <w:spacing w:val="-1"/>
        </w:rPr>
        <w:t> </w:t>
      </w:r>
      <w:r>
        <w:rPr>
          <w:color w:val="131413"/>
        </w:rPr>
        <w:t>in</w:t>
      </w:r>
      <w:r>
        <w:rPr>
          <w:color w:val="131413"/>
          <w:spacing w:val="-3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kleinen</w:t>
      </w:r>
      <w:r>
        <w:rPr>
          <w:color w:val="131413"/>
          <w:spacing w:val="-59"/>
        </w:rPr>
        <w:t> </w:t>
      </w:r>
      <w:r>
        <w:rPr>
          <w:color w:val="131413"/>
          <w:spacing w:val="-1"/>
        </w:rPr>
        <w:t>oder als dekorative Ablagemöglichkeit </w:t>
      </w:r>
      <w:r>
        <w:rPr>
          <w:color w:val="131413"/>
        </w:rPr>
        <w:t>in allen Varianten, „Splash“</w:t>
      </w:r>
      <w:r>
        <w:rPr>
          <w:color w:val="131413"/>
          <w:spacing w:val="-59"/>
        </w:rPr>
        <w:t> </w:t>
      </w:r>
      <w:r>
        <w:rPr>
          <w:color w:val="131413"/>
        </w:rPr>
        <w:t>garantiert</w:t>
      </w:r>
      <w:r>
        <w:rPr>
          <w:color w:val="131413"/>
          <w:spacing w:val="-3"/>
        </w:rPr>
        <w:t> </w:t>
      </w:r>
      <w:r>
        <w:rPr>
          <w:color w:val="131413"/>
        </w:rPr>
        <w:t>reizvolle</w:t>
      </w:r>
      <w:r>
        <w:rPr>
          <w:color w:val="131413"/>
          <w:spacing w:val="-14"/>
        </w:rPr>
        <w:t> </w:t>
      </w:r>
      <w:r>
        <w:rPr>
          <w:color w:val="131413"/>
        </w:rPr>
        <w:t>Akzente</w:t>
      </w:r>
      <w:r>
        <w:rPr>
          <w:color w:val="131413"/>
          <w:spacing w:val="-2"/>
        </w:rPr>
        <w:t> </w:t>
      </w:r>
      <w:r>
        <w:rPr>
          <w:color w:val="131413"/>
        </w:rPr>
        <w:t>auf</w:t>
      </w:r>
      <w:r>
        <w:rPr>
          <w:color w:val="131413"/>
          <w:spacing w:val="-3"/>
        </w:rPr>
        <w:t> </w:t>
      </w:r>
      <w:r>
        <w:rPr>
          <w:color w:val="131413"/>
        </w:rPr>
        <w:t>dem</w:t>
      </w:r>
      <w:r>
        <w:rPr>
          <w:color w:val="131413"/>
          <w:spacing w:val="-6"/>
        </w:rPr>
        <w:t> </w:t>
      </w:r>
      <w:r>
        <w:rPr>
          <w:color w:val="131413"/>
        </w:rPr>
        <w:t>Tisch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im</w:t>
      </w:r>
      <w:r>
        <w:rPr>
          <w:color w:val="131413"/>
          <w:spacing w:val="-3"/>
        </w:rPr>
        <w:t> </w:t>
      </w:r>
      <w:r>
        <w:rPr>
          <w:color w:val="131413"/>
        </w:rPr>
        <w:t>Interieur.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58"/>
      </w:pPr>
      <w:r>
        <w:rPr>
          <w:color w:val="131413"/>
        </w:rPr>
        <w:t>Die Schalen bestehen aus massiver Zinnlegierung, werden aus zahl-</w:t>
      </w:r>
      <w:r>
        <w:rPr>
          <w:color w:val="131413"/>
          <w:spacing w:val="-59"/>
        </w:rPr>
        <w:t> </w:t>
      </w:r>
      <w:r>
        <w:rPr>
          <w:color w:val="131413"/>
        </w:rPr>
        <w:t>reichen Einzelteilen in Handarbeit zusammengefügt und aufwendig</w:t>
      </w:r>
      <w:r>
        <w:rPr>
          <w:color w:val="131413"/>
          <w:spacing w:val="1"/>
        </w:rPr>
        <w:t> </w:t>
      </w:r>
      <w:r>
        <w:rPr>
          <w:color w:val="131413"/>
        </w:rPr>
        <w:t>veredelt. Kugelfüße auf der Unterseite garantieren einen sicheren</w:t>
      </w:r>
      <w:r>
        <w:rPr>
          <w:color w:val="131413"/>
          <w:spacing w:val="1"/>
        </w:rPr>
        <w:t> </w:t>
      </w:r>
      <w:r>
        <w:rPr>
          <w:color w:val="131413"/>
        </w:rPr>
        <w:t>Stand.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5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855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2022-03-04T13:16:04Z</dcterms:created>
  <dcterms:modified xsi:type="dcterms:W3CDTF">2022-03-04T13:16:04Z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2022-03-04T00:00:00Z</vt:filetime>
  </property>
</Properties>
</file>