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235;top:5460;width:2416;height:226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17;width:3248;height:2281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9" coordorigin="7785,11088" coordsize="3258,2835">
            <v:shape style="position:absolute;left:7790;top:11093;width:3248;height:2825" id="docshape10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v:shape style="position:absolute;left:7790;top:11264;width:3248;height:2427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„Roots“,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„Matrix“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&amp; „Fakir“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Messing aus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einem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Guss!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83"/>
      </w:pPr>
      <w:r>
        <w:rPr>
          <w:color w:val="131413"/>
        </w:rPr>
        <w:t>Massives Messing ist der Rohstoff, aus dem diese Artikel gemacht</w:t>
      </w:r>
      <w:r>
        <w:rPr>
          <w:color w:val="131413"/>
          <w:spacing w:val="1"/>
        </w:rPr>
        <w:t> </w:t>
      </w:r>
      <w:r>
        <w:rPr>
          <w:color w:val="131413"/>
        </w:rPr>
        <w:t>sind. In traditionellem Sandgussverfahren verarbeitet entstehen</w:t>
      </w:r>
      <w:r>
        <w:rPr>
          <w:color w:val="131413"/>
          <w:spacing w:val="1"/>
        </w:rPr>
        <w:t> </w:t>
      </w:r>
      <w:r>
        <w:rPr>
          <w:color w:val="131413"/>
        </w:rPr>
        <w:t>skulpturale Einzelstücke, welche besonders durch die Kontraste zwi-</w:t>
      </w:r>
      <w:r>
        <w:rPr>
          <w:color w:val="131413"/>
          <w:spacing w:val="-59"/>
        </w:rPr>
        <w:t> </w:t>
      </w:r>
      <w:r>
        <w:rPr>
          <w:color w:val="131413"/>
        </w:rPr>
        <w:t>schen</w:t>
      </w:r>
      <w:r>
        <w:rPr>
          <w:color w:val="131413"/>
          <w:spacing w:val="-2"/>
        </w:rPr>
        <w:t> </w:t>
      </w:r>
      <w:r>
        <w:rPr>
          <w:color w:val="131413"/>
        </w:rPr>
        <w:t>matt-goldenen</w:t>
      </w:r>
      <w:r>
        <w:rPr>
          <w:color w:val="131413"/>
          <w:spacing w:val="-2"/>
        </w:rPr>
        <w:t> </w:t>
      </w:r>
      <w:r>
        <w:rPr>
          <w:color w:val="131413"/>
        </w:rPr>
        <w:t>Flächen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dunkler</w:t>
      </w:r>
      <w:r>
        <w:rPr>
          <w:color w:val="131413"/>
          <w:spacing w:val="-3"/>
        </w:rPr>
        <w:t> </w:t>
      </w:r>
      <w:r>
        <w:rPr>
          <w:color w:val="131413"/>
        </w:rPr>
        <w:t>Patinierung</w:t>
      </w:r>
      <w:r>
        <w:rPr>
          <w:color w:val="131413"/>
          <w:spacing w:val="-1"/>
        </w:rPr>
        <w:t> </w:t>
      </w:r>
      <w:r>
        <w:rPr>
          <w:color w:val="131413"/>
        </w:rPr>
        <w:t>begeistern.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41"/>
      </w:pPr>
      <w:r>
        <w:rPr>
          <w:color w:val="131413"/>
        </w:rPr>
        <w:t>In Form und Gestalt gegensätzlich aber doch zusammengehörend,</w:t>
      </w:r>
      <w:r>
        <w:rPr>
          <w:color w:val="131413"/>
          <w:spacing w:val="-59"/>
        </w:rPr>
        <w:t> </w:t>
      </w:r>
      <w:r>
        <w:rPr>
          <w:color w:val="131413"/>
        </w:rPr>
        <w:t>ergänzen sich die Schalen „Roots“ und „Matrix“, sowie die außer-</w:t>
      </w:r>
      <w:r>
        <w:rPr>
          <w:color w:val="131413"/>
          <w:spacing w:val="1"/>
        </w:rPr>
        <w:t> </w:t>
      </w:r>
      <w:r>
        <w:rPr>
          <w:color w:val="131413"/>
        </w:rPr>
        <w:t>gewöhnlichen Displays der Serie „Fakir“ zu einem</w:t>
      </w:r>
      <w:r>
        <w:rPr>
          <w:color w:val="131413"/>
          <w:spacing w:val="1"/>
        </w:rPr>
        <w:t> </w:t>
      </w:r>
      <w:r>
        <w:rPr>
          <w:color w:val="131413"/>
        </w:rPr>
        <w:t>harmonischen</w:t>
      </w:r>
      <w:r>
        <w:rPr>
          <w:color w:val="131413"/>
          <w:spacing w:val="1"/>
        </w:rPr>
        <w:t> </w:t>
      </w:r>
      <w:r>
        <w:rPr>
          <w:color w:val="131413"/>
        </w:rPr>
        <w:t>Gesamtbild.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"/>
        <w:ind w:left="110" w:right="2658"/>
      </w:pPr>
      <w:r>
        <w:rPr>
          <w:color w:val="131413"/>
        </w:rPr>
        <w:t>Die Schale „Roots“, ein enges Geflecht wurzelähnlicher Strukturen</w:t>
      </w:r>
      <w:r>
        <w:rPr>
          <w:color w:val="131413"/>
          <w:spacing w:val="1"/>
        </w:rPr>
        <w:t> </w:t>
      </w:r>
      <w:r>
        <w:rPr>
          <w:color w:val="131413"/>
        </w:rPr>
        <w:t>und „Matrix“, streng geometrisch aus Sechsecken gebildet</w:t>
      </w:r>
      <w:r>
        <w:rPr>
          <w:color w:val="131413"/>
          <w:spacing w:val="1"/>
        </w:rPr>
        <w:t> </w:t>
      </w:r>
      <w:r>
        <w:rPr>
          <w:color w:val="131413"/>
        </w:rPr>
        <w:t>könnten</w:t>
      </w:r>
      <w:r>
        <w:rPr>
          <w:color w:val="131413"/>
          <w:spacing w:val="1"/>
        </w:rPr>
        <w:t> </w:t>
      </w:r>
      <w:r>
        <w:rPr>
          <w:color w:val="131413"/>
        </w:rPr>
        <w:t>gegensätzlicher kaum sein. Gerade dieser Aspekt macht die Kombi-</w:t>
      </w:r>
      <w:r>
        <w:rPr>
          <w:color w:val="131413"/>
          <w:spacing w:val="1"/>
        </w:rPr>
        <w:t> </w:t>
      </w:r>
      <w:r>
        <w:rPr>
          <w:color w:val="131413"/>
        </w:rPr>
        <w:t>nation der beiden so interessant. Neben der Präsentation von Brot</w:t>
      </w:r>
      <w:r>
        <w:rPr>
          <w:color w:val="131413"/>
          <w:spacing w:val="1"/>
        </w:rPr>
        <w:t> </w:t>
      </w:r>
      <w:r>
        <w:rPr>
          <w:color w:val="131413"/>
        </w:rPr>
        <w:t>und Obst auf dem Buffet faszinieren diese Schalen auch als Skulptur</w:t>
      </w:r>
      <w:r>
        <w:rPr>
          <w:color w:val="131413"/>
          <w:spacing w:val="-59"/>
        </w:rPr>
        <w:t> </w:t>
      </w:r>
      <w:r>
        <w:rPr>
          <w:color w:val="131413"/>
        </w:rPr>
        <w:t>oder</w:t>
      </w:r>
      <w:r>
        <w:rPr>
          <w:color w:val="131413"/>
          <w:spacing w:val="-2"/>
        </w:rPr>
        <w:t> </w:t>
      </w:r>
      <w:r>
        <w:rPr>
          <w:color w:val="131413"/>
        </w:rPr>
        <w:t>reines Dekorationselement.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731"/>
      </w:pPr>
      <w:r>
        <w:rPr>
          <w:color w:val="131413"/>
        </w:rPr>
        <w:t>Eine interessante Ergänzung zu den „Fakir“ Schalen sind runde</w:t>
      </w:r>
      <w:r>
        <w:rPr>
          <w:color w:val="131413"/>
          <w:spacing w:val="1"/>
        </w:rPr>
        <w:t> </w:t>
      </w:r>
      <w:r>
        <w:rPr>
          <w:color w:val="131413"/>
        </w:rPr>
        <w:t>Glasplatten aus dem Zieher Sortiment. Diese können einfach aufge-</w:t>
      </w:r>
      <w:r>
        <w:rPr>
          <w:color w:val="131413"/>
          <w:spacing w:val="-59"/>
        </w:rPr>
        <w:t> </w:t>
      </w:r>
      <w:r>
        <w:rPr>
          <w:color w:val="131413"/>
        </w:rPr>
        <w:t>legt werden und ermöglichen dadurch die beidseitige Verwendung</w:t>
      </w:r>
      <w:r>
        <w:rPr>
          <w:color w:val="131413"/>
          <w:spacing w:val="1"/>
        </w:rPr>
        <w:t> </w:t>
      </w:r>
      <w:r>
        <w:rPr>
          <w:color w:val="131413"/>
        </w:rPr>
        <w:t>dieser</w:t>
      </w:r>
      <w:r>
        <w:rPr>
          <w:color w:val="131413"/>
          <w:spacing w:val="-2"/>
        </w:rPr>
        <w:t> </w:t>
      </w:r>
      <w:r>
        <w:rPr>
          <w:color w:val="131413"/>
        </w:rPr>
        <w:t>beeindruckenden</w:t>
      </w:r>
      <w:r>
        <w:rPr>
          <w:color w:val="131413"/>
          <w:spacing w:val="-1"/>
        </w:rPr>
        <w:t> </w:t>
      </w:r>
      <w:r>
        <w:rPr>
          <w:color w:val="131413"/>
        </w:rPr>
        <w:t>Objekte.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58"/>
      </w:pPr>
      <w:r>
        <w:rPr>
          <w:color w:val="131413"/>
        </w:rPr>
        <w:t>Alle Artikel sind messingfarben und teilweise dunkel patiniert, eine</w:t>
      </w:r>
      <w:r>
        <w:rPr>
          <w:color w:val="131413"/>
          <w:spacing w:val="1"/>
        </w:rPr>
        <w:t> </w:t>
      </w:r>
      <w:r>
        <w:rPr>
          <w:color w:val="131413"/>
        </w:rPr>
        <w:t>weitere</w:t>
      </w:r>
      <w:r>
        <w:rPr>
          <w:color w:val="131413"/>
          <w:spacing w:val="-8"/>
        </w:rPr>
        <w:t> </w:t>
      </w:r>
      <w:r>
        <w:rPr>
          <w:color w:val="131413"/>
        </w:rPr>
        <w:t>Verfärbung</w:t>
      </w:r>
      <w:r>
        <w:rPr>
          <w:color w:val="131413"/>
          <w:spacing w:val="-8"/>
        </w:rPr>
        <w:t> </w:t>
      </w:r>
      <w:r>
        <w:rPr>
          <w:color w:val="131413"/>
        </w:rPr>
        <w:t>bzw.</w:t>
      </w:r>
      <w:r>
        <w:rPr>
          <w:color w:val="131413"/>
          <w:spacing w:val="-7"/>
        </w:rPr>
        <w:t> </w:t>
      </w:r>
      <w:r>
        <w:rPr>
          <w:color w:val="131413"/>
        </w:rPr>
        <w:t>Oxidation</w:t>
      </w:r>
      <w:r>
        <w:rPr>
          <w:color w:val="131413"/>
          <w:spacing w:val="-6"/>
        </w:rPr>
        <w:t> </w:t>
      </w:r>
      <w:r>
        <w:rPr>
          <w:color w:val="131413"/>
        </w:rPr>
        <w:t>der</w:t>
      </w:r>
      <w:r>
        <w:rPr>
          <w:color w:val="131413"/>
          <w:spacing w:val="-8"/>
        </w:rPr>
        <w:t> </w:t>
      </w:r>
      <w:r>
        <w:rPr>
          <w:color w:val="131413"/>
        </w:rPr>
        <w:t>Messingoberfläche</w:t>
      </w:r>
      <w:r>
        <w:rPr>
          <w:color w:val="131413"/>
          <w:spacing w:val="-7"/>
        </w:rPr>
        <w:t> </w:t>
      </w:r>
      <w:r>
        <w:rPr>
          <w:color w:val="131413"/>
        </w:rPr>
        <w:t>wird</w:t>
      </w:r>
      <w:r>
        <w:rPr>
          <w:color w:val="131413"/>
          <w:spacing w:val="-7"/>
        </w:rPr>
        <w:t> </w:t>
      </w:r>
      <w:r>
        <w:rPr>
          <w:color w:val="131413"/>
        </w:rPr>
        <w:t>durch</w:t>
      </w:r>
      <w:r>
        <w:rPr>
          <w:color w:val="131413"/>
          <w:spacing w:val="-58"/>
        </w:rPr>
        <w:t> </w:t>
      </w:r>
      <w:r>
        <w:rPr>
          <w:color w:val="131413"/>
        </w:rPr>
        <w:t>eine</w:t>
      </w:r>
      <w:r>
        <w:rPr>
          <w:color w:val="131413"/>
          <w:spacing w:val="-4"/>
        </w:rPr>
        <w:t> </w:t>
      </w:r>
      <w:r>
        <w:rPr>
          <w:color w:val="131413"/>
        </w:rPr>
        <w:t>lebensmittelechte</w:t>
      </w:r>
      <w:r>
        <w:rPr>
          <w:color w:val="131413"/>
          <w:spacing w:val="-3"/>
        </w:rPr>
        <w:t> </w:t>
      </w:r>
      <w:r>
        <w:rPr>
          <w:color w:val="131413"/>
        </w:rPr>
        <w:t>Versiegelung</w:t>
      </w:r>
      <w:r>
        <w:rPr>
          <w:color w:val="131413"/>
          <w:spacing w:val="-3"/>
        </w:rPr>
        <w:t> </w:t>
      </w:r>
      <w:r>
        <w:rPr>
          <w:color w:val="131413"/>
        </w:rPr>
        <w:t>zuverlässig</w:t>
      </w:r>
      <w:r>
        <w:rPr>
          <w:color w:val="131413"/>
          <w:spacing w:val="-2"/>
        </w:rPr>
        <w:t> </w:t>
      </w:r>
      <w:r>
        <w:rPr>
          <w:color w:val="131413"/>
        </w:rPr>
        <w:t>verhindert.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1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38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2022-03-07T10:39:50Z</dcterms:created>
  <dcterms:modified xsi:type="dcterms:W3CDTF">2022-03-07T10:39:50Z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2022-03-07T00:00:00Z</vt:filetime>
  </property>
</Properties>
</file>