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8"/>
        <w:rPr>
          <w:rFonts w:ascii="Times New Roman"/>
          <w:sz w:val="25"/>
        </w:rPr>
      </w:pPr>
      <w:r>
        <w:rPr/>
        <w:pict>
          <v:group style="position:absolute;margin-left:388.516907pt;margin-top:260.07901pt;width:163.7pt;height:141.75pt;mso-position-horizontal-relative:page;mso-position-vertical-relative:page;z-index:15728640" id="docshapegroup8" coordorigin="7770,5202" coordsize="3274,2835">
            <v:shape style="position:absolute;left:7790;top:5206;width:3248;height:2825" id="docshape9" coordorigin="7791,5207" coordsize="3248,2825" path="m7904,5207l7860,5215,7824,5240,7800,5276,7791,5320,7791,7918,7800,7962,7824,7998,7860,8022,7904,8031,10925,8031,10969,8022,11005,7998,11029,7962,11038,7918,11038,5320,11029,5276,11005,5240,10969,5215,10925,5207,7904,5207xe" filled="false" stroked="true" strokeweight=".5pt" strokecolor="#939598">
              <v:path arrowok="t"/>
              <v:stroke dashstyle="solid"/>
            </v:shape>
            <v:shape style="position:absolute;left:8426;top:5311;width:1995;height:2704" type="#_x0000_t75" id="docshape10" stroked="false">
              <v:imagedata r:id="rId7" o:title=""/>
            </v:shape>
            <v:shape style="position:absolute;left:7775;top:5206;width:3263;height:2809" id="docshape11" coordorigin="7775,5207" coordsize="3263,2809" path="m7889,5207l7845,5215,7809,5240,7784,5276,7775,5320,7775,7902,7784,7946,7809,7982,7845,8007,7889,8016,10925,8016,10969,8007,11005,7982,11029,7946,11038,7902,11038,5320,11029,5276,11005,5240,10969,5215,10925,5207,7889,5207xe" filled="false" stroked="true" strokeweight=".5pt" strokecolor="#939598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90.13031pt;margin-top:406.894012pt;width:162.9pt;height:142.450pt;mso-position-horizontal-relative:page;mso-position-vertical-relative:page;z-index:15729152" id="docshapegroup12" coordorigin="7803,8138" coordsize="3258,2849">
            <v:shape style="position:absolute;left:7807;top:8152;width:3248;height:2816" type="#_x0000_t75" id="docshape13" stroked="false">
              <v:imagedata r:id="rId8" o:title=""/>
            </v:shape>
            <v:shape style="position:absolute;left:7807;top:8142;width:3248;height:2825" id="docshape14" coordorigin="7808,8143" coordsize="3248,2825" path="m7921,8143l7877,8152,7841,8176,7817,8212,7808,8256,7808,10854,7817,10898,7841,10934,7877,10959,7921,10968,10942,10968,10986,10959,11022,10934,11046,10898,11055,10854,11055,8256,11046,8212,11022,8176,10986,8152,10942,8143,7921,8143xe" filled="false" stroked="true" strokeweight=".5pt" strokecolor="#939598">
              <v:path arrowok="t"/>
              <v:stroke dashstyle="solid"/>
            </v:shape>
            <v:shape style="position:absolute;left:7807;top:8157;width:3248;height:2825" id="docshape15" coordorigin="7808,8157" coordsize="3248,2825" path="m7921,8157l7877,8166,7841,8190,7817,8226,7808,8270,7808,10868,7817,10912,7841,10948,7877,10973,7921,10982,10942,10982,10986,10973,11022,10948,11046,10912,11055,10868,11055,8270,11046,8226,11022,8190,10986,8166,10942,8157,7921,8157xe" filled="false" stroked="true" strokeweight=".5pt" strokecolor="#939598">
              <v:path arrowok="t"/>
              <v:stroke dashstyle="solid"/>
            </v:shape>
            <v:shape style="position:absolute;left:7807;top:8142;width:3248;height:2825" id="docshape16" coordorigin="7808,8143" coordsize="3248,2825" path="m7921,8143l7877,8152,7841,8176,7817,8212,7808,8256,7808,10854,7817,10898,7841,10934,7877,10959,7921,10968,10942,10968,10986,10959,11022,10934,11046,10898,11055,10854,11055,8256,11046,8212,11022,8176,10986,8152,10942,8143,7921,8143xe" filled="false" stroked="true" strokeweight=".5pt" strokecolor="#939598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89.50531pt;margin-top:111.923615pt;width:163.65pt;height:141.7pt;mso-position-horizontal-relative:page;mso-position-vertical-relative:page;z-index:15729664" id="docshapegroup17" coordorigin="7790,2238" coordsize="3273,2834">
            <v:shape style="position:absolute;left:7795;top:2243;width:3264;height:2824" type="#_x0000_t75" id="docshape18" stroked="false">
              <v:imagedata r:id="rId9" o:title=""/>
            </v:shape>
            <v:shape style="position:absolute;left:7795;top:2243;width:3263;height:2824" id="docshape19" coordorigin="7795,2243" coordsize="3263,2824" path="m7908,2243l7864,2252,7828,2277,7804,2313,7795,2357,7795,4953,7804,4997,7828,5033,7864,5058,7908,5067,10945,5067,10989,5058,11025,5033,11049,4997,11058,4953,11058,2357,11049,2313,11025,2277,10989,2252,10945,2243,7908,2243xm7908,2243l7864,2252,7828,2277,7804,2313,7795,2357,7795,4953,7804,4997,7828,5033,7864,5058,7908,5067,10945,5067,10989,5058,11025,5033,11049,4997,11058,4953,11058,2357,11049,2313,11025,2277,10989,2252,10945,2243,7908,2243xe" filled="false" stroked="true" strokeweight=".5pt" strokecolor="#939598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89.257385pt;margin-top:554.417603pt;width:163.550pt;height:141.75pt;mso-position-horizontal-relative:page;mso-position-vertical-relative:page;z-index:15730176" id="docshapegroup20" coordorigin="7785,11088" coordsize="3271,2835">
            <v:shape style="position:absolute;left:7785;top:11088;width:3266;height:2835" type="#_x0000_t75" id="docshape21" stroked="false">
              <v:imagedata r:id="rId10" o:title=""/>
            </v:shape>
            <v:shape style="position:absolute;left:7802;top:11093;width:3248;height:2825" id="docshape22" coordorigin="7803,11093" coordsize="3248,2825" path="m7916,11093l7872,11102,7836,11127,7812,11163,7803,11207,7803,13805,7812,13849,7836,13885,7872,13909,7916,13918,10937,13918,10981,13909,11017,13885,11041,13849,11050,13805,11050,11207,11041,11163,11017,11127,10981,11102,10937,11093,7916,11093xe" filled="false" stroked="true" strokeweight=".5pt" strokecolor="#939598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266" w:lineRule="auto" w:before="93"/>
        <w:ind w:left="110" w:right="2536"/>
      </w:pPr>
      <w:r>
        <w:rPr>
          <w:color w:val="231F20"/>
        </w:rPr>
        <w:t>THE BAR COLLECTION by Zieher bereichert die Barszene um neue</w:t>
      </w:r>
      <w:r>
        <w:rPr>
          <w:color w:val="231F20"/>
          <w:spacing w:val="1"/>
        </w:rPr>
        <w:t> </w:t>
      </w:r>
      <w:r>
        <w:rPr>
          <w:color w:val="231F20"/>
        </w:rPr>
        <w:t>Charaktere, die prädestiniert sind für eigenständige Kreationen ab-</w:t>
      </w:r>
      <w:r>
        <w:rPr>
          <w:color w:val="231F20"/>
          <w:spacing w:val="1"/>
        </w:rPr>
        <w:t> </w:t>
      </w:r>
      <w:r>
        <w:rPr>
          <w:color w:val="231F20"/>
        </w:rPr>
        <w:t>seits des Cocktail-Mainstreams. Jedes Gefäß greift spielerisch ein</w:t>
      </w:r>
      <w:r>
        <w:rPr>
          <w:color w:val="231F20"/>
          <w:spacing w:val="1"/>
        </w:rPr>
        <w:t> </w:t>
      </w:r>
      <w:r>
        <w:rPr>
          <w:color w:val="231F20"/>
        </w:rPr>
        <w:t>anderes</w:t>
      </w:r>
      <w:r>
        <w:rPr>
          <w:color w:val="231F20"/>
          <w:spacing w:val="-7"/>
        </w:rPr>
        <w:t> </w:t>
      </w:r>
      <w:r>
        <w:rPr>
          <w:color w:val="231F20"/>
        </w:rPr>
        <w:t>Thema</w:t>
      </w:r>
      <w:r>
        <w:rPr>
          <w:color w:val="231F20"/>
          <w:spacing w:val="-2"/>
        </w:rPr>
        <w:t> </w:t>
      </w:r>
      <w:r>
        <w:rPr>
          <w:color w:val="231F20"/>
        </w:rPr>
        <w:t>auf</w:t>
      </w:r>
      <w:r>
        <w:rPr>
          <w:color w:val="231F20"/>
          <w:spacing w:val="-3"/>
        </w:rPr>
        <w:t> </w:t>
      </w:r>
      <w:r>
        <w:rPr>
          <w:color w:val="231F20"/>
        </w:rPr>
        <w:t>und</w:t>
      </w:r>
      <w:r>
        <w:rPr>
          <w:color w:val="231F20"/>
          <w:spacing w:val="-3"/>
        </w:rPr>
        <w:t> </w:t>
      </w:r>
      <w:r>
        <w:rPr>
          <w:color w:val="231F20"/>
        </w:rPr>
        <w:t>versprüht</w:t>
      </w:r>
      <w:r>
        <w:rPr>
          <w:color w:val="231F20"/>
          <w:spacing w:val="-2"/>
        </w:rPr>
        <w:t> </w:t>
      </w:r>
      <w:r>
        <w:rPr>
          <w:color w:val="231F20"/>
        </w:rPr>
        <w:t>so</w:t>
      </w:r>
      <w:r>
        <w:rPr>
          <w:color w:val="231F20"/>
          <w:spacing w:val="-3"/>
        </w:rPr>
        <w:t> </w:t>
      </w:r>
      <w:r>
        <w:rPr>
          <w:color w:val="231F20"/>
        </w:rPr>
        <w:t>auf</w:t>
      </w:r>
      <w:r>
        <w:rPr>
          <w:color w:val="231F20"/>
          <w:spacing w:val="-3"/>
        </w:rPr>
        <w:t> </w:t>
      </w:r>
      <w:r>
        <w:rPr>
          <w:color w:val="231F20"/>
        </w:rPr>
        <w:t>seine</w:t>
      </w:r>
      <w:r>
        <w:rPr>
          <w:color w:val="231F20"/>
          <w:spacing w:val="-2"/>
        </w:rPr>
        <w:t> </w:t>
      </w:r>
      <w:r>
        <w:rPr>
          <w:color w:val="231F20"/>
        </w:rPr>
        <w:t>eigene</w:t>
      </w:r>
      <w:r>
        <w:rPr>
          <w:color w:val="231F20"/>
          <w:spacing w:val="-14"/>
        </w:rPr>
        <w:t> </w:t>
      </w:r>
      <w:r>
        <w:rPr>
          <w:color w:val="231F20"/>
        </w:rPr>
        <w:t>Art</w:t>
      </w:r>
      <w:r>
        <w:rPr>
          <w:color w:val="231F20"/>
          <w:spacing w:val="-2"/>
        </w:rPr>
        <w:t> </w:t>
      </w:r>
      <w:r>
        <w:rPr>
          <w:color w:val="231F20"/>
        </w:rPr>
        <w:t>eine</w:t>
      </w:r>
      <w:r>
        <w:rPr>
          <w:color w:val="231F20"/>
          <w:spacing w:val="-3"/>
        </w:rPr>
        <w:t> </w:t>
      </w:r>
      <w:r>
        <w:rPr>
          <w:color w:val="231F20"/>
        </w:rPr>
        <w:t>gehöri-</w:t>
      </w:r>
      <w:r>
        <w:rPr>
          <w:color w:val="231F20"/>
          <w:spacing w:val="-58"/>
        </w:rPr>
        <w:t> </w:t>
      </w:r>
      <w:r>
        <w:rPr>
          <w:color w:val="231F20"/>
        </w:rPr>
        <w:t>ge</w:t>
      </w:r>
      <w:r>
        <w:rPr>
          <w:color w:val="231F20"/>
          <w:spacing w:val="-2"/>
        </w:rPr>
        <w:t> </w:t>
      </w:r>
      <w:r>
        <w:rPr>
          <w:color w:val="231F20"/>
        </w:rPr>
        <w:t>Portion Witz.</w:t>
      </w:r>
    </w:p>
    <w:p>
      <w:pPr>
        <w:pStyle w:val="BodyText"/>
        <w:rPr>
          <w:sz w:val="24"/>
        </w:rPr>
      </w:pPr>
    </w:p>
    <w:p>
      <w:pPr>
        <w:pStyle w:val="BodyText"/>
        <w:spacing w:line="266" w:lineRule="auto"/>
        <w:ind w:left="110" w:right="2794"/>
      </w:pPr>
      <w:r>
        <w:rPr>
          <w:color w:val="231F20"/>
        </w:rPr>
        <w:t>Gefertigt aus besonders bruchfestem und temperaturbeständigem</w:t>
      </w:r>
      <w:r>
        <w:rPr>
          <w:color w:val="231F20"/>
          <w:spacing w:val="1"/>
        </w:rPr>
        <w:t> </w:t>
      </w:r>
      <w:r>
        <w:rPr>
          <w:color w:val="231F20"/>
        </w:rPr>
        <w:t>Borosilikatglas, bietet THE BAR COLLECTION nicht nur eine extra-</w:t>
      </w:r>
      <w:r>
        <w:rPr>
          <w:color w:val="231F20"/>
          <w:spacing w:val="-59"/>
        </w:rPr>
        <w:t> </w:t>
      </w:r>
      <w:r>
        <w:rPr>
          <w:color w:val="231F20"/>
        </w:rPr>
        <w:t>vagante Hülle, sondern mit bis zu 500 ml Inhalt auch viel Raum für</w:t>
      </w:r>
      <w:r>
        <w:rPr>
          <w:color w:val="231F20"/>
          <w:spacing w:val="1"/>
        </w:rPr>
        <w:t> </w:t>
      </w:r>
      <w:r>
        <w:rPr>
          <w:color w:val="231F20"/>
        </w:rPr>
        <w:t>außergewöhnliche</w:t>
      </w:r>
      <w:r>
        <w:rPr>
          <w:color w:val="231F20"/>
          <w:spacing w:val="-4"/>
        </w:rPr>
        <w:t> </w:t>
      </w:r>
      <w:r>
        <w:rPr>
          <w:color w:val="231F20"/>
        </w:rPr>
        <w:t>Experimente</w:t>
      </w:r>
      <w:r>
        <w:rPr>
          <w:color w:val="231F20"/>
          <w:spacing w:val="-2"/>
        </w:rPr>
        <w:t> </w:t>
      </w:r>
      <w:r>
        <w:rPr>
          <w:color w:val="231F20"/>
        </w:rPr>
        <w:t>und</w:t>
      </w:r>
      <w:r>
        <w:rPr>
          <w:color w:val="231F20"/>
          <w:spacing w:val="-3"/>
        </w:rPr>
        <w:t> </w:t>
      </w:r>
      <w:r>
        <w:rPr>
          <w:color w:val="231F20"/>
        </w:rPr>
        <w:t>unzählige</w:t>
      </w:r>
      <w:r>
        <w:rPr>
          <w:color w:val="231F20"/>
          <w:spacing w:val="-3"/>
        </w:rPr>
        <w:t> </w:t>
      </w:r>
      <w:r>
        <w:rPr>
          <w:color w:val="231F20"/>
        </w:rPr>
        <w:t>Rezepturen.</w:t>
      </w:r>
    </w:p>
    <w:p>
      <w:pPr>
        <w:pStyle w:val="BodyText"/>
        <w:spacing w:line="266" w:lineRule="auto"/>
        <w:ind w:left="110" w:right="2561"/>
      </w:pPr>
      <w:r>
        <w:rPr>
          <w:color w:val="231F20"/>
        </w:rPr>
        <w:t>Alle Gläser sind trotz Ihrer Unterschiedlichkeit gut zu kombinieren und</w:t>
      </w:r>
      <w:r>
        <w:rPr>
          <w:color w:val="231F20"/>
          <w:spacing w:val="-59"/>
        </w:rPr>
        <w:t> </w:t>
      </w:r>
      <w:r>
        <w:rPr>
          <w:color w:val="231F20"/>
        </w:rPr>
        <w:t>schaffen Möglichkeiten, die weit über das Servieren eines Getränks</w:t>
      </w:r>
      <w:r>
        <w:rPr>
          <w:color w:val="231F20"/>
          <w:spacing w:val="1"/>
        </w:rPr>
        <w:t> </w:t>
      </w:r>
      <w:r>
        <w:rPr>
          <w:color w:val="231F20"/>
        </w:rPr>
        <w:t>hinausgehen. Neben dem Geschmack wird auch ein haptisches und</w:t>
      </w:r>
      <w:r>
        <w:rPr>
          <w:color w:val="231F20"/>
          <w:spacing w:val="1"/>
        </w:rPr>
        <w:t> </w:t>
      </w:r>
      <w:r>
        <w:rPr>
          <w:color w:val="231F20"/>
        </w:rPr>
        <w:t>visuelles Erlebnis generiert, das die Grundlage moderner Cocktai-</w:t>
      </w:r>
      <w:r>
        <w:rPr>
          <w:color w:val="231F20"/>
          <w:spacing w:val="1"/>
        </w:rPr>
        <w:t> </w:t>
      </w:r>
      <w:r>
        <w:rPr>
          <w:color w:val="231F20"/>
        </w:rPr>
        <w:t>linszenierungen</w:t>
      </w:r>
      <w:r>
        <w:rPr>
          <w:color w:val="231F20"/>
          <w:spacing w:val="-2"/>
        </w:rPr>
        <w:t> </w:t>
      </w:r>
      <w:r>
        <w:rPr>
          <w:color w:val="231F20"/>
        </w:rPr>
        <w:t>erfüllt.</w:t>
      </w:r>
    </w:p>
    <w:p>
      <w:pPr>
        <w:pStyle w:val="BodyText"/>
        <w:spacing w:before="8"/>
        <w:rPr>
          <w:sz w:val="23"/>
        </w:rPr>
      </w:pPr>
    </w:p>
    <w:p>
      <w:pPr>
        <w:pStyle w:val="Heading1"/>
        <w:spacing w:before="1"/>
      </w:pPr>
      <w:r>
        <w:rPr>
          <w:color w:val="231F20"/>
        </w:rPr>
        <w:t>„The Pill“</w:t>
      </w:r>
    </w:p>
    <w:p>
      <w:pPr>
        <w:pStyle w:val="BodyText"/>
        <w:spacing w:line="266" w:lineRule="auto" w:before="27"/>
        <w:ind w:left="110" w:right="2536"/>
      </w:pPr>
      <w:r>
        <w:rPr>
          <w:color w:val="231F20"/>
        </w:rPr>
        <w:t>„The Pill“ lässt viele Assoziationen zu: Die Risiken und Nebenwirkun-</w:t>
      </w:r>
      <w:r>
        <w:rPr>
          <w:color w:val="231F20"/>
          <w:spacing w:val="1"/>
        </w:rPr>
        <w:t> </w:t>
      </w:r>
      <w:r>
        <w:rPr>
          <w:color w:val="231F20"/>
        </w:rPr>
        <w:t>gen der in diesen Gläsern servierten Getränke reichen von Wohlbefin-</w:t>
      </w:r>
      <w:r>
        <w:rPr>
          <w:color w:val="231F20"/>
          <w:spacing w:val="-59"/>
        </w:rPr>
        <w:t> </w:t>
      </w:r>
      <w:r>
        <w:rPr>
          <w:color w:val="231F20"/>
        </w:rPr>
        <w:t>den nach der Einnahme diverser Healthy Drinks bis zur berauschen-</w:t>
      </w:r>
      <w:r>
        <w:rPr>
          <w:color w:val="231F20"/>
          <w:spacing w:val="1"/>
        </w:rPr>
        <w:t> </w:t>
      </w:r>
      <w:r>
        <w:rPr>
          <w:color w:val="231F20"/>
        </w:rPr>
        <w:t>den</w:t>
      </w:r>
      <w:r>
        <w:rPr>
          <w:color w:val="231F20"/>
          <w:spacing w:val="-2"/>
        </w:rPr>
        <w:t> </w:t>
      </w:r>
      <w:r>
        <w:rPr>
          <w:color w:val="231F20"/>
        </w:rPr>
        <w:t>Wirkung</w:t>
      </w:r>
      <w:r>
        <w:rPr>
          <w:color w:val="231F20"/>
          <w:spacing w:val="-1"/>
        </w:rPr>
        <w:t> </w:t>
      </w:r>
      <w:r>
        <w:rPr>
          <w:color w:val="231F20"/>
        </w:rPr>
        <w:t>hochprozentiger</w:t>
      </w:r>
      <w:r>
        <w:rPr>
          <w:color w:val="231F20"/>
          <w:spacing w:val="-2"/>
        </w:rPr>
        <w:t> </w:t>
      </w:r>
      <w:r>
        <w:rPr>
          <w:color w:val="231F20"/>
        </w:rPr>
        <w:t>Cocktailkreationen.</w:t>
      </w:r>
    </w:p>
    <w:p>
      <w:pPr>
        <w:pStyle w:val="BodyText"/>
        <w:rPr>
          <w:sz w:val="24"/>
        </w:rPr>
      </w:pPr>
    </w:p>
    <w:p>
      <w:pPr>
        <w:pStyle w:val="Heading1"/>
        <w:jc w:val="both"/>
      </w:pPr>
      <w:r>
        <w:rPr>
          <w:color w:val="231F20"/>
        </w:rPr>
        <w:t>„The</w:t>
      </w:r>
      <w:r>
        <w:rPr>
          <w:color w:val="231F20"/>
          <w:spacing w:val="-3"/>
        </w:rPr>
        <w:t> </w:t>
      </w:r>
      <w:r>
        <w:rPr>
          <w:color w:val="231F20"/>
        </w:rPr>
        <w:t>Vikings“</w:t>
      </w:r>
    </w:p>
    <w:p>
      <w:pPr>
        <w:pStyle w:val="BodyText"/>
        <w:spacing w:line="266" w:lineRule="auto" w:before="27"/>
        <w:ind w:left="110" w:right="2794"/>
        <w:jc w:val="both"/>
      </w:pPr>
      <w:r>
        <w:rPr>
          <w:color w:val="231F20"/>
        </w:rPr>
        <w:t>„The Vikings“ erinnern entfernt an die Kopfbedeckung der alten Wi-</w:t>
      </w:r>
      <w:r>
        <w:rPr>
          <w:color w:val="231F20"/>
          <w:spacing w:val="-59"/>
        </w:rPr>
        <w:t> </w:t>
      </w:r>
      <w:r>
        <w:rPr>
          <w:color w:val="231F20"/>
        </w:rPr>
        <w:t>kinger.</w:t>
      </w:r>
      <w:r>
        <w:rPr>
          <w:color w:val="231F20"/>
          <w:spacing w:val="-4"/>
        </w:rPr>
        <w:t> </w:t>
      </w:r>
      <w:r>
        <w:rPr>
          <w:color w:val="231F20"/>
        </w:rPr>
        <w:t>Sie</w:t>
      </w:r>
      <w:r>
        <w:rPr>
          <w:color w:val="231F20"/>
          <w:spacing w:val="-3"/>
        </w:rPr>
        <w:t> </w:t>
      </w:r>
      <w:r>
        <w:rPr>
          <w:color w:val="231F20"/>
        </w:rPr>
        <w:t>bieten</w:t>
      </w:r>
      <w:r>
        <w:rPr>
          <w:color w:val="231F20"/>
          <w:spacing w:val="-4"/>
        </w:rPr>
        <w:t> </w:t>
      </w:r>
      <w:r>
        <w:rPr>
          <w:color w:val="231F20"/>
        </w:rPr>
        <w:t>einen</w:t>
      </w:r>
      <w:r>
        <w:rPr>
          <w:color w:val="231F20"/>
          <w:spacing w:val="-4"/>
        </w:rPr>
        <w:t> </w:t>
      </w:r>
      <w:r>
        <w:rPr>
          <w:color w:val="231F20"/>
        </w:rPr>
        <w:t>großen,</w:t>
      </w:r>
      <w:r>
        <w:rPr>
          <w:color w:val="231F20"/>
          <w:spacing w:val="-4"/>
        </w:rPr>
        <w:t> </w:t>
      </w:r>
      <w:r>
        <w:rPr>
          <w:color w:val="231F20"/>
        </w:rPr>
        <w:t>klaren</w:t>
      </w:r>
      <w:r>
        <w:rPr>
          <w:color w:val="231F20"/>
          <w:spacing w:val="-3"/>
        </w:rPr>
        <w:t> </w:t>
      </w:r>
      <w:r>
        <w:rPr>
          <w:color w:val="231F20"/>
        </w:rPr>
        <w:t>Kelch</w:t>
      </w:r>
      <w:r>
        <w:rPr>
          <w:color w:val="231F20"/>
          <w:spacing w:val="-3"/>
        </w:rPr>
        <w:t> </w:t>
      </w:r>
      <w:r>
        <w:rPr>
          <w:color w:val="231F20"/>
        </w:rPr>
        <w:t>auf</w:t>
      </w:r>
      <w:r>
        <w:rPr>
          <w:color w:val="231F20"/>
          <w:spacing w:val="-4"/>
        </w:rPr>
        <w:t> </w:t>
      </w:r>
      <w:r>
        <w:rPr>
          <w:color w:val="231F20"/>
        </w:rPr>
        <w:t>satinierten</w:t>
      </w:r>
      <w:r>
        <w:rPr>
          <w:color w:val="231F20"/>
          <w:spacing w:val="-3"/>
        </w:rPr>
        <w:t> </w:t>
      </w:r>
      <w:r>
        <w:rPr>
          <w:color w:val="231F20"/>
        </w:rPr>
        <w:t>Füßen,</w:t>
      </w:r>
      <w:r>
        <w:rPr>
          <w:color w:val="231F20"/>
          <w:spacing w:val="-59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dem</w:t>
      </w:r>
      <w:r>
        <w:rPr>
          <w:color w:val="231F20"/>
          <w:spacing w:val="-4"/>
        </w:rPr>
        <w:t> </w:t>
      </w:r>
      <w:r>
        <w:rPr>
          <w:color w:val="231F20"/>
        </w:rPr>
        <w:t>starke</w:t>
      </w:r>
      <w:r>
        <w:rPr>
          <w:color w:val="231F20"/>
          <w:spacing w:val="-2"/>
        </w:rPr>
        <w:t> </w:t>
      </w:r>
      <w:r>
        <w:rPr>
          <w:color w:val="231F20"/>
        </w:rPr>
        <w:t>Cocktails</w:t>
      </w:r>
      <w:r>
        <w:rPr>
          <w:color w:val="231F20"/>
          <w:spacing w:val="-4"/>
        </w:rPr>
        <w:t> </w:t>
      </w:r>
      <w:r>
        <w:rPr>
          <w:color w:val="231F20"/>
        </w:rPr>
        <w:t>transparent</w:t>
      </w:r>
      <w:r>
        <w:rPr>
          <w:color w:val="231F20"/>
          <w:spacing w:val="-3"/>
        </w:rPr>
        <w:t> </w:t>
      </w:r>
      <w:r>
        <w:rPr>
          <w:color w:val="231F20"/>
        </w:rPr>
        <w:t>inszeniert</w:t>
      </w:r>
      <w:r>
        <w:rPr>
          <w:color w:val="231F20"/>
          <w:spacing w:val="-4"/>
        </w:rPr>
        <w:t> </w:t>
      </w:r>
      <w:r>
        <w:rPr>
          <w:color w:val="231F20"/>
        </w:rPr>
        <w:t>werden</w:t>
      </w:r>
      <w:r>
        <w:rPr>
          <w:color w:val="231F20"/>
          <w:spacing w:val="-3"/>
        </w:rPr>
        <w:t> </w:t>
      </w:r>
      <w:r>
        <w:rPr>
          <w:color w:val="231F20"/>
        </w:rPr>
        <w:t>können.</w:t>
      </w:r>
      <w:r>
        <w:rPr>
          <w:color w:val="231F20"/>
          <w:spacing w:val="-3"/>
        </w:rPr>
        <w:t> </w:t>
      </w:r>
      <w:r>
        <w:rPr>
          <w:color w:val="231F20"/>
        </w:rPr>
        <w:t>Die</w:t>
      </w:r>
    </w:p>
    <w:p>
      <w:pPr>
        <w:pStyle w:val="BodyText"/>
        <w:spacing w:line="266" w:lineRule="auto"/>
        <w:ind w:left="110" w:right="2541"/>
        <w:jc w:val="both"/>
      </w:pPr>
      <w:r>
        <w:rPr>
          <w:color w:val="231F20"/>
        </w:rPr>
        <w:t>Variante</w:t>
      </w:r>
      <w:r>
        <w:rPr>
          <w:color w:val="231F20"/>
          <w:spacing w:val="-6"/>
        </w:rPr>
        <w:t> </w:t>
      </w:r>
      <w:r>
        <w:rPr>
          <w:color w:val="231F20"/>
        </w:rPr>
        <w:t>mit</w:t>
      </w:r>
      <w:r>
        <w:rPr>
          <w:color w:val="231F20"/>
          <w:spacing w:val="-5"/>
        </w:rPr>
        <w:t> </w:t>
      </w:r>
      <w:r>
        <w:rPr>
          <w:color w:val="231F20"/>
        </w:rPr>
        <w:t>zwei</w:t>
      </w:r>
      <w:r>
        <w:rPr>
          <w:color w:val="231F20"/>
          <w:spacing w:val="-5"/>
        </w:rPr>
        <w:t> </w:t>
      </w:r>
      <w:r>
        <w:rPr>
          <w:color w:val="231F20"/>
        </w:rPr>
        <w:t>Füßen</w:t>
      </w:r>
      <w:r>
        <w:rPr>
          <w:color w:val="231F20"/>
          <w:spacing w:val="-5"/>
        </w:rPr>
        <w:t> </w:t>
      </w:r>
      <w:r>
        <w:rPr>
          <w:color w:val="231F20"/>
        </w:rPr>
        <w:t>überrascht</w:t>
      </w:r>
      <w:r>
        <w:rPr>
          <w:color w:val="231F20"/>
          <w:spacing w:val="-6"/>
        </w:rPr>
        <w:t> </w:t>
      </w:r>
      <w:r>
        <w:rPr>
          <w:color w:val="231F20"/>
        </w:rPr>
        <w:t>durch</w:t>
      </w:r>
      <w:r>
        <w:rPr>
          <w:color w:val="231F20"/>
          <w:spacing w:val="-6"/>
        </w:rPr>
        <w:t> </w:t>
      </w:r>
      <w:r>
        <w:rPr>
          <w:color w:val="231F20"/>
        </w:rPr>
        <w:t>ihre</w:t>
      </w:r>
      <w:r>
        <w:rPr>
          <w:color w:val="231F20"/>
          <w:spacing w:val="-5"/>
        </w:rPr>
        <w:t> </w:t>
      </w:r>
      <w:r>
        <w:rPr>
          <w:color w:val="231F20"/>
        </w:rPr>
        <w:t>gekippte</w:t>
      </w:r>
      <w:r>
        <w:rPr>
          <w:color w:val="231F20"/>
          <w:spacing w:val="-6"/>
        </w:rPr>
        <w:t> </w:t>
      </w:r>
      <w:r>
        <w:rPr>
          <w:color w:val="231F20"/>
        </w:rPr>
        <w:t>Position,</w:t>
      </w:r>
      <w:r>
        <w:rPr>
          <w:color w:val="231F20"/>
          <w:spacing w:val="-5"/>
        </w:rPr>
        <w:t> </w:t>
      </w:r>
      <w:r>
        <w:rPr>
          <w:color w:val="231F20"/>
        </w:rPr>
        <w:t>wäh-</w:t>
      </w:r>
      <w:r>
        <w:rPr>
          <w:color w:val="231F20"/>
          <w:spacing w:val="-59"/>
        </w:rPr>
        <w:t> </w:t>
      </w:r>
      <w:r>
        <w:rPr>
          <w:color w:val="231F20"/>
        </w:rPr>
        <w:t>rend die dreifüßige Variante standsicher und dennoch fast schwebend</w:t>
      </w:r>
      <w:r>
        <w:rPr>
          <w:color w:val="231F20"/>
          <w:spacing w:val="-59"/>
        </w:rPr>
        <w:t> </w:t>
      </w:r>
      <w:r>
        <w:rPr>
          <w:color w:val="231F20"/>
        </w:rPr>
        <w:t>erscheint.</w:t>
      </w:r>
    </w:p>
    <w:p>
      <w:pPr>
        <w:pStyle w:val="BodyText"/>
        <w:spacing w:before="11"/>
        <w:rPr>
          <w:sz w:val="23"/>
        </w:rPr>
      </w:pPr>
    </w:p>
    <w:p>
      <w:pPr>
        <w:pStyle w:val="Heading1"/>
      </w:pPr>
      <w:r>
        <w:rPr>
          <w:color w:val="231F20"/>
        </w:rPr>
        <w:t>„The</w:t>
      </w:r>
      <w:r>
        <w:rPr>
          <w:color w:val="231F20"/>
          <w:spacing w:val="-4"/>
        </w:rPr>
        <w:t> </w:t>
      </w:r>
      <w:r>
        <w:rPr>
          <w:color w:val="231F20"/>
        </w:rPr>
        <w:t>Knobbed“</w:t>
      </w:r>
    </w:p>
    <w:p>
      <w:pPr>
        <w:pStyle w:val="BodyText"/>
        <w:spacing w:line="266" w:lineRule="auto" w:before="27"/>
        <w:ind w:left="110" w:right="2536"/>
      </w:pPr>
      <w:r>
        <w:rPr>
          <w:color w:val="231F20"/>
        </w:rPr>
        <w:t>„The Knobbed“ spielt mit seinem Inhalt, denn die angesetzten Nop-</w:t>
      </w:r>
      <w:r>
        <w:rPr>
          <w:color w:val="231F20"/>
          <w:spacing w:val="1"/>
        </w:rPr>
        <w:t> </w:t>
      </w:r>
      <w:r>
        <w:rPr>
          <w:color w:val="231F20"/>
        </w:rPr>
        <w:t>pen</w:t>
      </w:r>
      <w:r>
        <w:rPr>
          <w:color w:val="231F20"/>
          <w:spacing w:val="-4"/>
        </w:rPr>
        <w:t> </w:t>
      </w:r>
      <w:r>
        <w:rPr>
          <w:color w:val="231F20"/>
        </w:rPr>
        <w:t>imitieren</w:t>
      </w:r>
      <w:r>
        <w:rPr>
          <w:color w:val="231F20"/>
          <w:spacing w:val="-4"/>
        </w:rPr>
        <w:t> </w:t>
      </w:r>
      <w:r>
        <w:rPr>
          <w:color w:val="231F20"/>
        </w:rPr>
        <w:t>die</w:t>
      </w:r>
      <w:r>
        <w:rPr>
          <w:color w:val="231F20"/>
          <w:spacing w:val="-3"/>
        </w:rPr>
        <w:t> </w:t>
      </w:r>
      <w:r>
        <w:rPr>
          <w:color w:val="231F20"/>
        </w:rPr>
        <w:t>Perlage</w:t>
      </w:r>
      <w:r>
        <w:rPr>
          <w:color w:val="231F20"/>
          <w:spacing w:val="-3"/>
        </w:rPr>
        <w:t> </w:t>
      </w:r>
      <w:r>
        <w:rPr>
          <w:color w:val="231F20"/>
        </w:rPr>
        <w:t>von</w:t>
      </w:r>
      <w:r>
        <w:rPr>
          <w:color w:val="231F20"/>
          <w:spacing w:val="-2"/>
        </w:rPr>
        <w:t> </w:t>
      </w:r>
      <w:r>
        <w:rPr>
          <w:color w:val="231F20"/>
        </w:rPr>
        <w:t>Kohlensäure</w:t>
      </w:r>
      <w:r>
        <w:rPr>
          <w:color w:val="231F20"/>
          <w:spacing w:val="-3"/>
        </w:rPr>
        <w:t> </w:t>
      </w:r>
      <w:r>
        <w:rPr>
          <w:color w:val="231F20"/>
        </w:rPr>
        <w:t>auf</w:t>
      </w:r>
      <w:r>
        <w:rPr>
          <w:color w:val="231F20"/>
          <w:spacing w:val="-4"/>
        </w:rPr>
        <w:t> </w:t>
      </w:r>
      <w:r>
        <w:rPr>
          <w:color w:val="231F20"/>
        </w:rPr>
        <w:t>eine</w:t>
      </w:r>
      <w:r>
        <w:rPr>
          <w:color w:val="231F20"/>
          <w:spacing w:val="-3"/>
        </w:rPr>
        <w:t> </w:t>
      </w:r>
      <w:r>
        <w:rPr>
          <w:color w:val="231F20"/>
        </w:rPr>
        <w:t>amüsante</w:t>
      </w:r>
      <w:r>
        <w:rPr>
          <w:color w:val="231F20"/>
          <w:spacing w:val="-14"/>
        </w:rPr>
        <w:t> </w:t>
      </w:r>
      <w:r>
        <w:rPr>
          <w:color w:val="231F20"/>
        </w:rPr>
        <w:t>Art</w:t>
      </w:r>
      <w:r>
        <w:rPr>
          <w:color w:val="231F20"/>
          <w:spacing w:val="-3"/>
        </w:rPr>
        <w:t> </w:t>
      </w:r>
      <w:r>
        <w:rPr>
          <w:color w:val="231F20"/>
        </w:rPr>
        <w:t>und</w:t>
      </w:r>
      <w:r>
        <w:rPr>
          <w:color w:val="231F20"/>
          <w:spacing w:val="-58"/>
        </w:rPr>
        <w:t> </w:t>
      </w:r>
      <w:r>
        <w:rPr>
          <w:color w:val="231F20"/>
        </w:rPr>
        <w:t>Weise. Hier lassen sich interessante Widersprüche zum eigentlichen</w:t>
      </w:r>
      <w:r>
        <w:rPr>
          <w:color w:val="231F20"/>
          <w:spacing w:val="1"/>
        </w:rPr>
        <w:t> </w:t>
      </w:r>
      <w:r>
        <w:rPr>
          <w:color w:val="231F20"/>
        </w:rPr>
        <w:t>Inhalt</w:t>
      </w:r>
      <w:r>
        <w:rPr>
          <w:color w:val="231F20"/>
          <w:spacing w:val="-1"/>
        </w:rPr>
        <w:t> </w:t>
      </w:r>
      <w:r>
        <w:rPr>
          <w:color w:val="231F20"/>
        </w:rPr>
        <w:t>auf</w:t>
      </w:r>
      <w:r>
        <w:rPr>
          <w:color w:val="231F20"/>
          <w:spacing w:val="-1"/>
        </w:rPr>
        <w:t> </w:t>
      </w:r>
      <w:r>
        <w:rPr>
          <w:color w:val="231F20"/>
        </w:rPr>
        <w:t>die</w:t>
      </w:r>
      <w:r>
        <w:rPr>
          <w:color w:val="231F20"/>
          <w:spacing w:val="-1"/>
        </w:rPr>
        <w:t> </w:t>
      </w:r>
      <w:r>
        <w:rPr>
          <w:color w:val="231F20"/>
        </w:rPr>
        <w:t>Spitze treiben.</w:t>
      </w:r>
    </w:p>
    <w:p>
      <w:pPr>
        <w:pStyle w:val="BodyText"/>
        <w:spacing w:before="1"/>
        <w:rPr>
          <w:sz w:val="24"/>
        </w:rPr>
      </w:pPr>
    </w:p>
    <w:p>
      <w:pPr>
        <w:pStyle w:val="Heading1"/>
      </w:pPr>
      <w:r>
        <w:rPr>
          <w:color w:val="231F20"/>
        </w:rPr>
        <w:t>„Eddy</w:t>
      </w:r>
      <w:r>
        <w:rPr>
          <w:color w:val="231F20"/>
          <w:spacing w:val="-2"/>
        </w:rPr>
        <w:t> </w:t>
      </w:r>
      <w:r>
        <w:rPr>
          <w:color w:val="231F20"/>
        </w:rPr>
        <w:t>-</w:t>
      </w:r>
      <w:r>
        <w:rPr>
          <w:color w:val="231F20"/>
          <w:spacing w:val="-2"/>
        </w:rPr>
        <w:t> </w:t>
      </w:r>
      <w:r>
        <w:rPr>
          <w:color w:val="231F20"/>
        </w:rPr>
        <w:t>Dash!“</w:t>
      </w:r>
    </w:p>
    <w:p>
      <w:pPr>
        <w:pStyle w:val="BodyText"/>
        <w:spacing w:line="266" w:lineRule="auto" w:before="27"/>
        <w:ind w:left="110" w:right="2695"/>
      </w:pPr>
      <w:r>
        <w:rPr>
          <w:color w:val="231F20"/>
        </w:rPr>
        <w:t>Die Spritzflasche „Eddy - Dash!“ zur Dosierung von bitteren oder</w:t>
      </w:r>
      <w:r>
        <w:rPr>
          <w:color w:val="231F20"/>
          <w:spacing w:val="1"/>
        </w:rPr>
        <w:t> </w:t>
      </w:r>
      <w:r>
        <w:rPr>
          <w:color w:val="231F20"/>
        </w:rPr>
        <w:t>sauren Zutaten ist neben den Gläsern ein wichtiger Bestandteil der</w:t>
      </w:r>
      <w:r>
        <w:rPr>
          <w:color w:val="231F20"/>
          <w:spacing w:val="1"/>
        </w:rPr>
        <w:t> </w:t>
      </w:r>
      <w:r>
        <w:rPr>
          <w:color w:val="231F20"/>
        </w:rPr>
        <w:t>Bar Collection. Der passende Spritzdosierer ist jeder Flasche bereits</w:t>
      </w:r>
      <w:r>
        <w:rPr>
          <w:color w:val="231F20"/>
          <w:spacing w:val="-59"/>
        </w:rPr>
        <w:t> </w:t>
      </w:r>
      <w:r>
        <w:rPr>
          <w:color w:val="231F20"/>
        </w:rPr>
        <w:t>beigepackt.</w:t>
      </w:r>
      <w:r>
        <w:rPr>
          <w:color w:val="231F20"/>
          <w:spacing w:val="-5"/>
        </w:rPr>
        <w:t> </w:t>
      </w:r>
      <w:r>
        <w:rPr>
          <w:color w:val="231F20"/>
        </w:rPr>
        <w:t>Dieses</w:t>
      </w:r>
      <w:r>
        <w:rPr>
          <w:color w:val="231F20"/>
          <w:spacing w:val="-5"/>
        </w:rPr>
        <w:t> </w:t>
      </w:r>
      <w:r>
        <w:rPr>
          <w:color w:val="231F20"/>
        </w:rPr>
        <w:t>Gefäß</w:t>
      </w:r>
      <w:r>
        <w:rPr>
          <w:color w:val="231F20"/>
          <w:spacing w:val="-3"/>
        </w:rPr>
        <w:t> </w:t>
      </w:r>
      <w:r>
        <w:rPr>
          <w:color w:val="231F20"/>
        </w:rPr>
        <w:t>basiert</w:t>
      </w:r>
      <w:r>
        <w:rPr>
          <w:color w:val="231F20"/>
          <w:spacing w:val="-5"/>
        </w:rPr>
        <w:t> </w:t>
      </w:r>
      <w:r>
        <w:rPr>
          <w:color w:val="231F20"/>
        </w:rPr>
        <w:t>formal</w:t>
      </w:r>
      <w:r>
        <w:rPr>
          <w:color w:val="231F20"/>
          <w:spacing w:val="-4"/>
        </w:rPr>
        <w:t> </w:t>
      </w:r>
      <w:r>
        <w:rPr>
          <w:color w:val="231F20"/>
        </w:rPr>
        <w:t>auf</w:t>
      </w:r>
      <w:r>
        <w:rPr>
          <w:color w:val="231F20"/>
          <w:spacing w:val="-4"/>
        </w:rPr>
        <w:t> </w:t>
      </w:r>
      <w:r>
        <w:rPr>
          <w:color w:val="231F20"/>
        </w:rPr>
        <w:t>den</w:t>
      </w:r>
      <w:r>
        <w:rPr>
          <w:color w:val="231F20"/>
          <w:spacing w:val="-5"/>
        </w:rPr>
        <w:t> </w:t>
      </w:r>
      <w:r>
        <w:rPr>
          <w:color w:val="231F20"/>
        </w:rPr>
        <w:t>bereits</w:t>
      </w:r>
      <w:r>
        <w:rPr>
          <w:color w:val="231F20"/>
          <w:spacing w:val="-4"/>
        </w:rPr>
        <w:t> </w:t>
      </w:r>
      <w:r>
        <w:rPr>
          <w:color w:val="231F20"/>
        </w:rPr>
        <w:t>bekannten</w:t>
      </w:r>
    </w:p>
    <w:p>
      <w:pPr>
        <w:pStyle w:val="BodyText"/>
        <w:spacing w:line="266" w:lineRule="auto"/>
        <w:ind w:left="110" w:right="2628"/>
      </w:pPr>
      <w:r>
        <w:rPr>
          <w:color w:val="231F20"/>
        </w:rPr>
        <w:t>„Eddy“-Weindekantern</w:t>
      </w:r>
      <w:r>
        <w:rPr>
          <w:color w:val="231F20"/>
          <w:spacing w:val="-5"/>
        </w:rPr>
        <w:t> </w:t>
      </w:r>
      <w:r>
        <w:rPr>
          <w:color w:val="231F20"/>
        </w:rPr>
        <w:t>von</w:t>
      </w:r>
      <w:r>
        <w:rPr>
          <w:color w:val="231F20"/>
          <w:spacing w:val="-4"/>
        </w:rPr>
        <w:t> </w:t>
      </w:r>
      <w:r>
        <w:rPr>
          <w:color w:val="231F20"/>
        </w:rPr>
        <w:t>Zieher</w:t>
      </w:r>
      <w:r>
        <w:rPr>
          <w:color w:val="231F20"/>
          <w:spacing w:val="-4"/>
        </w:rPr>
        <w:t> </w:t>
      </w:r>
      <w:r>
        <w:rPr>
          <w:color w:val="231F20"/>
        </w:rPr>
        <w:t>und</w:t>
      </w:r>
      <w:r>
        <w:rPr>
          <w:color w:val="231F20"/>
          <w:spacing w:val="-4"/>
        </w:rPr>
        <w:t> </w:t>
      </w:r>
      <w:r>
        <w:rPr>
          <w:color w:val="231F20"/>
        </w:rPr>
        <w:t>erlaubt</w:t>
      </w:r>
      <w:r>
        <w:rPr>
          <w:color w:val="231F20"/>
          <w:spacing w:val="-5"/>
        </w:rPr>
        <w:t> </w:t>
      </w:r>
      <w:r>
        <w:rPr>
          <w:color w:val="231F20"/>
        </w:rPr>
        <w:t>neben</w:t>
      </w:r>
      <w:r>
        <w:rPr>
          <w:color w:val="231F20"/>
          <w:spacing w:val="-5"/>
        </w:rPr>
        <w:t> </w:t>
      </w:r>
      <w:r>
        <w:rPr>
          <w:color w:val="231F20"/>
        </w:rPr>
        <w:t>dem</w:t>
      </w:r>
      <w:r>
        <w:rPr>
          <w:color w:val="231F20"/>
          <w:spacing w:val="-4"/>
        </w:rPr>
        <w:t> </w:t>
      </w:r>
      <w:r>
        <w:rPr>
          <w:color w:val="231F20"/>
        </w:rPr>
        <w:t>Einsatz</w:t>
      </w:r>
      <w:r>
        <w:rPr>
          <w:color w:val="231F20"/>
          <w:spacing w:val="-4"/>
        </w:rPr>
        <w:t> </w:t>
      </w:r>
      <w:r>
        <w:rPr>
          <w:color w:val="231F20"/>
        </w:rPr>
        <w:t>als</w:t>
      </w:r>
      <w:r>
        <w:rPr>
          <w:color w:val="231F20"/>
          <w:spacing w:val="-58"/>
        </w:rPr>
        <w:t> </w:t>
      </w:r>
      <w:r>
        <w:rPr>
          <w:color w:val="231F20"/>
        </w:rPr>
        <w:t>Dash-Bottle</w:t>
      </w:r>
      <w:r>
        <w:rPr>
          <w:color w:val="231F20"/>
          <w:spacing w:val="-6"/>
        </w:rPr>
        <w:t> </w:t>
      </w:r>
      <w:r>
        <w:rPr>
          <w:color w:val="231F20"/>
        </w:rPr>
        <w:t>auch</w:t>
      </w:r>
      <w:r>
        <w:rPr>
          <w:color w:val="231F20"/>
          <w:spacing w:val="-6"/>
        </w:rPr>
        <w:t> </w:t>
      </w:r>
      <w:r>
        <w:rPr>
          <w:color w:val="231F20"/>
        </w:rPr>
        <w:t>zusätzliche</w:t>
      </w:r>
      <w:r>
        <w:rPr>
          <w:color w:val="231F20"/>
          <w:spacing w:val="-5"/>
        </w:rPr>
        <w:t> </w:t>
      </w:r>
      <w:r>
        <w:rPr>
          <w:color w:val="231F20"/>
        </w:rPr>
        <w:t>Verwendungsmöglichkeiten.</w:t>
      </w:r>
      <w:r>
        <w:rPr>
          <w:color w:val="231F20"/>
          <w:spacing w:val="-6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</w:rPr>
        <w:t>kann</w:t>
      </w:r>
    </w:p>
    <w:p>
      <w:pPr>
        <w:pStyle w:val="BodyText"/>
        <w:spacing w:line="266" w:lineRule="auto"/>
        <w:ind w:left="110" w:right="2536"/>
      </w:pPr>
      <w:r>
        <w:rPr>
          <w:color w:val="231F20"/>
        </w:rPr>
        <w:t>z. B. ein „Cocktail aus der Flasche“ in diesen Gefäßen serviert wer-</w:t>
      </w:r>
      <w:r>
        <w:rPr>
          <w:color w:val="231F20"/>
          <w:spacing w:val="1"/>
        </w:rPr>
        <w:t> </w:t>
      </w:r>
      <w:r>
        <w:rPr>
          <w:color w:val="231F20"/>
        </w:rPr>
        <w:t>den,</w:t>
      </w:r>
      <w:r>
        <w:rPr>
          <w:color w:val="231F20"/>
          <w:spacing w:val="-9"/>
        </w:rPr>
        <w:t> </w:t>
      </w:r>
      <w:r>
        <w:rPr>
          <w:color w:val="231F20"/>
        </w:rPr>
        <w:t>die</w:t>
      </w:r>
      <w:r>
        <w:rPr>
          <w:color w:val="231F20"/>
          <w:spacing w:val="-9"/>
        </w:rPr>
        <w:t> </w:t>
      </w:r>
      <w:r>
        <w:rPr>
          <w:color w:val="231F20"/>
        </w:rPr>
        <w:t>nach</w:t>
      </w:r>
      <w:r>
        <w:rPr>
          <w:color w:val="231F20"/>
          <w:spacing w:val="-9"/>
        </w:rPr>
        <w:t> </w:t>
      </w:r>
      <w:r>
        <w:rPr>
          <w:color w:val="231F20"/>
        </w:rPr>
        <w:t>innen</w:t>
      </w:r>
      <w:r>
        <w:rPr>
          <w:color w:val="231F20"/>
          <w:spacing w:val="-9"/>
        </w:rPr>
        <w:t> </w:t>
      </w:r>
      <w:r>
        <w:rPr>
          <w:color w:val="231F20"/>
        </w:rPr>
        <w:t>gerichteten</w:t>
      </w:r>
      <w:r>
        <w:rPr>
          <w:color w:val="231F20"/>
          <w:spacing w:val="-9"/>
        </w:rPr>
        <w:t> </w:t>
      </w:r>
      <w:r>
        <w:rPr>
          <w:color w:val="231F20"/>
        </w:rPr>
        <w:t>Verwirbelungskörper</w:t>
      </w:r>
      <w:r>
        <w:rPr>
          <w:color w:val="231F20"/>
          <w:spacing w:val="-9"/>
        </w:rPr>
        <w:t> </w:t>
      </w:r>
      <w:r>
        <w:rPr>
          <w:color w:val="231F20"/>
        </w:rPr>
        <w:t>ermöglichen</w:t>
      </w:r>
      <w:r>
        <w:rPr>
          <w:color w:val="231F20"/>
          <w:spacing w:val="-9"/>
        </w:rPr>
        <w:t> </w:t>
      </w:r>
      <w:r>
        <w:rPr>
          <w:color w:val="231F20"/>
        </w:rPr>
        <w:t>ein</w:t>
      </w:r>
      <w:r>
        <w:rPr>
          <w:color w:val="231F20"/>
          <w:spacing w:val="-58"/>
        </w:rPr>
        <w:t> </w:t>
      </w:r>
      <w:r>
        <w:rPr>
          <w:color w:val="231F20"/>
        </w:rPr>
        <w:t>Vermischen</w:t>
      </w:r>
      <w:r>
        <w:rPr>
          <w:color w:val="231F20"/>
          <w:spacing w:val="-3"/>
        </w:rPr>
        <w:t> </w:t>
      </w:r>
      <w:r>
        <w:rPr>
          <w:color w:val="231F20"/>
        </w:rPr>
        <w:t>der</w:t>
      </w:r>
      <w:r>
        <w:rPr>
          <w:color w:val="231F20"/>
          <w:spacing w:val="-3"/>
        </w:rPr>
        <w:t> </w:t>
      </w:r>
      <w:r>
        <w:rPr>
          <w:color w:val="231F20"/>
        </w:rPr>
        <w:t>Zutaten</w:t>
      </w:r>
      <w:r>
        <w:rPr>
          <w:color w:val="231F20"/>
          <w:spacing w:val="-1"/>
        </w:rPr>
        <w:t> </w:t>
      </w:r>
      <w:r>
        <w:rPr>
          <w:color w:val="231F20"/>
        </w:rPr>
        <w:t>direkt</w:t>
      </w:r>
      <w:r>
        <w:rPr>
          <w:color w:val="231F20"/>
          <w:spacing w:val="-3"/>
        </w:rPr>
        <w:t> </w:t>
      </w:r>
      <w:r>
        <w:rPr>
          <w:color w:val="231F20"/>
        </w:rPr>
        <w:t>vor</w:t>
      </w:r>
      <w:r>
        <w:rPr>
          <w:color w:val="231F20"/>
          <w:spacing w:val="-1"/>
        </w:rPr>
        <w:t> </w:t>
      </w:r>
      <w:r>
        <w:rPr>
          <w:color w:val="231F20"/>
        </w:rPr>
        <w:t>dem</w:t>
      </w:r>
      <w:r>
        <w:rPr>
          <w:color w:val="231F20"/>
          <w:spacing w:val="-3"/>
        </w:rPr>
        <w:t> </w:t>
      </w:r>
      <w:r>
        <w:rPr>
          <w:color w:val="231F20"/>
        </w:rPr>
        <w:t>Genuss</w:t>
      </w:r>
      <w:r>
        <w:rPr>
          <w:color w:val="231F20"/>
          <w:spacing w:val="-2"/>
        </w:rPr>
        <w:t> </w:t>
      </w:r>
      <w:r>
        <w:rPr>
          <w:color w:val="231F20"/>
        </w:rPr>
        <w:t>des</w:t>
      </w:r>
      <w:r>
        <w:rPr>
          <w:color w:val="231F20"/>
          <w:spacing w:val="-2"/>
        </w:rPr>
        <w:t> </w:t>
      </w:r>
      <w:r>
        <w:rPr>
          <w:color w:val="231F20"/>
        </w:rPr>
        <w:t>Getränks.</w:t>
      </w:r>
    </w:p>
    <w:p>
      <w:pPr>
        <w:spacing w:after="0" w:line="266" w:lineRule="auto"/>
        <w:sectPr>
          <w:headerReference w:type="default" r:id="rId5"/>
          <w:footerReference w:type="default" r:id="rId6"/>
          <w:type w:val="continuous"/>
          <w:pgSz w:w="11910" w:h="16840"/>
          <w:pgMar w:header="1446" w:footer="1513" w:top="1800" w:bottom="1700" w:left="740" w:right="168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66" w:lineRule="auto" w:before="208"/>
        <w:ind w:left="110" w:right="2536"/>
      </w:pPr>
      <w:r>
        <w:rPr>
          <w:color w:val="231F20"/>
        </w:rPr>
        <w:t>Auch im Restaurant ist der kleinste „Eddy“ einsetzbar. Hierfür bietet</w:t>
      </w:r>
      <w:r>
        <w:rPr>
          <w:color w:val="231F20"/>
          <w:spacing w:val="1"/>
        </w:rPr>
        <w:t> </w:t>
      </w:r>
      <w:r>
        <w:rPr>
          <w:color w:val="231F20"/>
        </w:rPr>
        <w:t>Zieher geeignete Menagen sowie passende Flaschenausgießer mit</w:t>
      </w:r>
      <w:r>
        <w:rPr>
          <w:color w:val="231F20"/>
          <w:spacing w:val="1"/>
        </w:rPr>
        <w:t> </w:t>
      </w:r>
      <w:r>
        <w:rPr>
          <w:color w:val="231F20"/>
        </w:rPr>
        <w:t>hygienischer</w:t>
      </w:r>
      <w:r>
        <w:rPr>
          <w:color w:val="231F20"/>
          <w:spacing w:val="-8"/>
        </w:rPr>
        <w:t> </w:t>
      </w:r>
      <w:r>
        <w:rPr>
          <w:color w:val="231F20"/>
        </w:rPr>
        <w:t>Verschlussklappe</w:t>
      </w:r>
      <w:r>
        <w:rPr>
          <w:color w:val="231F20"/>
          <w:spacing w:val="-7"/>
        </w:rPr>
        <w:t> </w:t>
      </w:r>
      <w:r>
        <w:rPr>
          <w:color w:val="231F20"/>
        </w:rPr>
        <w:t>an,</w:t>
      </w:r>
      <w:r>
        <w:rPr>
          <w:color w:val="231F20"/>
          <w:spacing w:val="-7"/>
        </w:rPr>
        <w:t> </w:t>
      </w:r>
      <w:r>
        <w:rPr>
          <w:color w:val="231F20"/>
        </w:rPr>
        <w:t>welches</w:t>
      </w:r>
      <w:r>
        <w:rPr>
          <w:color w:val="231F20"/>
          <w:spacing w:val="-8"/>
        </w:rPr>
        <w:t> </w:t>
      </w:r>
      <w:r>
        <w:rPr>
          <w:color w:val="231F20"/>
        </w:rPr>
        <w:t>dem</w:t>
      </w:r>
      <w:r>
        <w:rPr>
          <w:color w:val="231F20"/>
          <w:spacing w:val="-7"/>
        </w:rPr>
        <w:t> </w:t>
      </w:r>
      <w:r>
        <w:rPr>
          <w:color w:val="231F20"/>
        </w:rPr>
        <w:t>„Eddy</w:t>
      </w:r>
      <w:r>
        <w:rPr>
          <w:color w:val="231F20"/>
          <w:spacing w:val="-6"/>
        </w:rPr>
        <w:t> </w:t>
      </w:r>
      <w:r>
        <w:rPr>
          <w:color w:val="231F20"/>
        </w:rPr>
        <w:t>-</w:t>
      </w:r>
      <w:r>
        <w:rPr>
          <w:color w:val="231F20"/>
          <w:spacing w:val="-7"/>
        </w:rPr>
        <w:t> </w:t>
      </w:r>
      <w:r>
        <w:rPr>
          <w:color w:val="231F20"/>
        </w:rPr>
        <w:t>Dash!“</w:t>
      </w:r>
      <w:r>
        <w:rPr>
          <w:color w:val="231F20"/>
          <w:spacing w:val="-7"/>
        </w:rPr>
        <w:t> </w:t>
      </w:r>
      <w:r>
        <w:rPr>
          <w:color w:val="231F20"/>
        </w:rPr>
        <w:t>eine</w:t>
      </w:r>
      <w:r>
        <w:rPr>
          <w:color w:val="231F20"/>
          <w:spacing w:val="-58"/>
        </w:rPr>
        <w:t> </w:t>
      </w:r>
      <w:r>
        <w:rPr>
          <w:color w:val="231F20"/>
        </w:rPr>
        <w:t>Verwendung</w:t>
      </w:r>
      <w:r>
        <w:rPr>
          <w:color w:val="231F20"/>
          <w:spacing w:val="-3"/>
        </w:rPr>
        <w:t> </w:t>
      </w:r>
      <w:r>
        <w:rPr>
          <w:color w:val="231F20"/>
        </w:rPr>
        <w:t>als</w:t>
      </w:r>
      <w:r>
        <w:rPr>
          <w:color w:val="231F20"/>
          <w:spacing w:val="-2"/>
        </w:rPr>
        <w:t> </w:t>
      </w:r>
      <w:r>
        <w:rPr>
          <w:color w:val="231F20"/>
        </w:rPr>
        <w:t>Öl-</w:t>
      </w:r>
      <w:r>
        <w:rPr>
          <w:color w:val="231F20"/>
          <w:spacing w:val="-1"/>
        </w:rPr>
        <w:t> </w:t>
      </w:r>
      <w:r>
        <w:rPr>
          <w:color w:val="231F20"/>
        </w:rPr>
        <w:t>oder</w:t>
      </w:r>
      <w:r>
        <w:rPr>
          <w:color w:val="231F20"/>
          <w:spacing w:val="-2"/>
        </w:rPr>
        <w:t> </w:t>
      </w:r>
      <w:r>
        <w:rPr>
          <w:color w:val="231F20"/>
        </w:rPr>
        <w:t>Essigflasche</w:t>
      </w:r>
      <w:r>
        <w:rPr>
          <w:color w:val="231F20"/>
          <w:spacing w:val="-1"/>
        </w:rPr>
        <w:t> </w:t>
      </w:r>
      <w:r>
        <w:rPr>
          <w:color w:val="231F20"/>
        </w:rPr>
        <w:t>ermöglicht.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ind w:left="110"/>
      </w:pPr>
      <w:hyperlink r:id="rId11">
        <w:r>
          <w:rPr>
            <w:color w:val="231F20"/>
          </w:rPr>
          <w:t>WWW.ZIEHER.COM</w:t>
        </w:r>
      </w:hyperlink>
    </w:p>
    <w:sectPr>
      <w:pgSz w:w="11910" w:h="16840"/>
      <w:pgMar w:header="1446" w:footer="1513" w:top="1800" w:bottom="1780" w:left="74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79.343292pt;margin-top:752.378601pt;width:73.45pt;height:46.6pt;mso-position-horizontal-relative:page;mso-position-vertical-relative:page;z-index:-15777280" id="docshapegroup2" coordorigin="9587,15048" coordsize="1469,932">
          <v:shape style="position:absolute;left:9854;top:15047;width:1167;height:932" id="docshape3" coordorigin="9854,15048" coordsize="1167,932" path="m9982,15979l9951,15924,9925,15865,9905,15803,9890,15740,9891,15840,9905,15875,9921,15910,9941,15945,9963,15979,9982,15979xm11021,15591l11014,15528,10998,15464,10974,15401,10943,15340,10904,15281,10859,15226,10806,15176,10748,15133,10683,15098,10612,15071,10536,15054,10455,15048,10357,15054,10271,15072,10194,15100,10127,15136,10069,15177,10019,15222,9977,15268,9943,15315,9914,15362,9888,15421,9868,15489,9854,15565,9882,15565,9889,15519,9900,15474,9915,15430,9935,15388,9975,15324,10021,15266,10075,15214,10135,15170,10202,15135,10276,15108,10357,15092,10446,15086,10527,15093,10603,15113,10672,15145,10734,15186,10790,15237,10837,15294,10877,15358,10907,15426,10928,15497,10940,15570,10962,15578,10986,15593,11006,15617,11020,15652,11021,15591xe" filled="true" fillcolor="#ec008c" stroked="false">
            <v:path arrowok="t"/>
            <v:fill type="solid"/>
          </v:shape>
          <v:shape style="position:absolute;left:9586;top:15565;width:304;height:410" id="docshape4" coordorigin="9587,15565" coordsize="304,410" path="m9839,15565l9587,15565,9587,15608,9777,15608,9587,15935,9587,15975,9839,15975,9839,15935,9652,15935,9839,15608,9839,15565xm9891,15565l9851,15565,9851,15975,9891,15975,9891,15565xe" filled="true" fillcolor="#231f20" stroked="false">
            <v:path arrowok="t"/>
            <v:fill type="solid"/>
          </v:shape>
          <v:shape style="position:absolute;left:10893;top:15819;width:162;height:156" id="docshape5" coordorigin="10894,15820" coordsize="162,156" path="m10949,15820l10894,15820,10998,15975,11055,15975,10949,15820xe" filled="true" fillcolor="#939598" stroked="false">
            <v:path arrowok="t"/>
            <v:fill type="solid"/>
          </v:shape>
          <v:shape style="position:absolute;left:9922;top:15563;width:1134;height:415" id="docshape6" coordorigin="9922,15563" coordsize="1134,415" path="m10149,15766l9972,15766,9972,15807,10149,15807,10149,15766xm10187,15616l10155,15587,10133,15572,10108,15566,10071,15565,10021,15577,9973,15615,9936,15681,9922,15779,9937,15871,9975,15933,10025,15967,10078,15978,10117,15975,10149,15966,10172,15952,10187,15935,10187,15892,10163,15917,10144,15930,10119,15934,10080,15935,10034,15924,9997,15892,9973,15843,9964,15779,9972,15718,9995,15676,10029,15651,10072,15643,10116,15652,10153,15669,10177,15687,10187,15695,10187,15616xm10419,15771l10275,15771,10275,15563,10213,15563,10213,15771,10213,15807,10213,15975,10273,15975,10273,15807,10419,15807,10419,15771xm10455,15563l10430,15563,10430,15975,10455,15975,10455,15563xm10697,15766l10520,15766,10520,15807,10697,15807,10697,15766xm10735,15616l10703,15587,10681,15572,10656,15566,10619,15565,10569,15577,10521,15615,10485,15681,10470,15779,10485,15871,10523,15933,10573,15967,10626,15978,10666,15975,10697,15966,10721,15952,10735,15935,10735,15892,10711,15917,10692,15930,10668,15934,10628,15935,10582,15924,10545,15892,10521,15843,10512,15779,10521,15718,10543,15676,10577,15651,10620,15643,10664,15652,10701,15669,10726,15687,10735,15695,10735,15616xm11024,15691l11023,15618,11010,15581,10977,15567,10912,15565,10767,15565,10767,15975,10829,15975,10829,15608,10910,15608,10921,15610,10946,15621,10971,15645,10982,15690,10981,15733,10974,15755,10956,15764,10920,15767,10838,15767,10838,15807,10925,15807,10941,15806,10975,15793,11009,15759,11024,15691xm11055,15975l10949,15820,10894,15820,10998,15975,11055,15975xe" filled="true" fillcolor="#231f20" stroked="false">
            <v:path arrowok="t"/>
            <v:fill type="solid"/>
          </v:shape>
          <w10:wrap type="none"/>
        </v:group>
      </w:pict>
    </w:r>
    <w:r>
      <w:rPr/>
      <w:pict>
        <v:line style="position:absolute;mso-position-horizontal-relative:page;mso-position-vertical-relative:page;z-index:-15776768" from="456.377901pt,777.401794pt" to="42.519901pt,777.401794pt" stroked="true" strokeweight=".5pt" strokecolor="#6d6e71">
          <v:stroke dashstyle="solid"/>
          <w10:wrap type="none"/>
        </v:line>
      </w:pict>
    </w:r>
    <w:r>
      <w:rPr/>
      <w:pict>
        <v:shape style="position:absolute;margin-left:41.519699pt;margin-top:765.629517pt;width:415.9pt;height:36.3pt;mso-position-horizontal-relative:page;mso-position-vertical-relative:page;z-index:-15776256" type="#_x0000_t202" id="docshape7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231F20"/>
                    <w:sz w:val="16"/>
                  </w:rPr>
                  <w:t>03/2021</w:t>
                </w:r>
              </w:p>
              <w:p>
                <w:pPr>
                  <w:spacing w:before="103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414042"/>
                    <w:sz w:val="16"/>
                  </w:rPr>
                  <w:t>Zieher</w:t>
                </w:r>
                <w:r>
                  <w:rPr>
                    <w:color w:val="414042"/>
                    <w:spacing w:val="1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KG,</w:t>
                </w:r>
                <w:r>
                  <w:rPr>
                    <w:color w:val="414042"/>
                    <w:spacing w:val="2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Kulmbacher</w:t>
                </w:r>
                <w:r>
                  <w:rPr>
                    <w:color w:val="414042"/>
                    <w:spacing w:val="2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Straße</w:t>
                </w:r>
                <w:r>
                  <w:rPr>
                    <w:color w:val="414042"/>
                    <w:spacing w:val="2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15,</w:t>
                </w:r>
                <w:r>
                  <w:rPr>
                    <w:color w:val="414042"/>
                    <w:spacing w:val="2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D</w:t>
                </w:r>
                <w:r>
                  <w:rPr>
                    <w:color w:val="414042"/>
                    <w:spacing w:val="2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-</w:t>
                </w:r>
                <w:r>
                  <w:rPr>
                    <w:color w:val="414042"/>
                    <w:spacing w:val="2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95502</w:t>
                </w:r>
                <w:r>
                  <w:rPr>
                    <w:color w:val="414042"/>
                    <w:spacing w:val="1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Himmelkron   </w:t>
                </w:r>
                <w:r>
                  <w:rPr>
                    <w:color w:val="414042"/>
                    <w:spacing w:val="11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•   </w:t>
                </w:r>
                <w:r>
                  <w:rPr>
                    <w:color w:val="414042"/>
                    <w:spacing w:val="10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Marketing:</w:t>
                </w:r>
                <w:r>
                  <w:rPr>
                    <w:color w:val="414042"/>
                    <w:spacing w:val="2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+49</w:t>
                </w:r>
                <w:r>
                  <w:rPr>
                    <w:color w:val="414042"/>
                    <w:spacing w:val="2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9273</w:t>
                </w:r>
                <w:r>
                  <w:rPr>
                    <w:color w:val="414042"/>
                    <w:spacing w:val="2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9273-68</w:t>
                </w:r>
                <w:r>
                  <w:rPr>
                    <w:color w:val="414042"/>
                    <w:spacing w:val="2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•</w:t>
                </w:r>
                <w:r>
                  <w:rPr>
                    <w:color w:val="414042"/>
                    <w:spacing w:val="2"/>
                    <w:sz w:val="16"/>
                  </w:rPr>
                  <w:t> </w:t>
                </w:r>
                <w:hyperlink r:id="rId1">
                  <w:r>
                    <w:rPr>
                      <w:color w:val="414042"/>
                      <w:sz w:val="16"/>
                    </w:rPr>
                    <w:t>presse@zieher.com</w:t>
                  </w:r>
                </w:hyperlink>
              </w:p>
              <w:p>
                <w:pPr>
                  <w:spacing w:before="36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414042"/>
                    <w:sz w:val="16"/>
                  </w:rPr>
                  <w:t>Im</w:t>
                </w:r>
                <w:r>
                  <w:rPr>
                    <w:color w:val="414042"/>
                    <w:spacing w:val="60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Pressebereich</w:t>
                </w:r>
                <w:r>
                  <w:rPr>
                    <w:color w:val="414042"/>
                    <w:spacing w:val="61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unter</w:t>
                </w:r>
                <w:r>
                  <w:rPr>
                    <w:color w:val="414042"/>
                    <w:spacing w:val="60"/>
                    <w:sz w:val="16"/>
                  </w:rPr>
                  <w:t> </w:t>
                </w:r>
                <w:hyperlink r:id="rId2">
                  <w:r>
                    <w:rPr>
                      <w:color w:val="414042"/>
                      <w:sz w:val="16"/>
                    </w:rPr>
                    <w:t>www.zieher.com</w:t>
                  </w:r>
                </w:hyperlink>
                <w:r>
                  <w:rPr>
                    <w:color w:val="414042"/>
                    <w:spacing w:val="61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finden</w:t>
                </w:r>
                <w:r>
                  <w:rPr>
                    <w:color w:val="414042"/>
                    <w:spacing w:val="61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Sie</w:t>
                </w:r>
                <w:r>
                  <w:rPr>
                    <w:color w:val="414042"/>
                    <w:spacing w:val="60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alle</w:t>
                </w:r>
                <w:r>
                  <w:rPr>
                    <w:color w:val="414042"/>
                    <w:spacing w:val="61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Pressemitteilungen</w:t>
                </w:r>
                <w:r>
                  <w:rPr>
                    <w:color w:val="414042"/>
                    <w:spacing w:val="61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inkl.</w:t>
                </w:r>
                <w:r>
                  <w:rPr>
                    <w:color w:val="414042"/>
                    <w:spacing w:val="60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Bildmaterial</w:t>
                </w:r>
                <w:r>
                  <w:rPr>
                    <w:color w:val="414042"/>
                    <w:spacing w:val="61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als</w:t>
                </w:r>
                <w:r>
                  <w:rPr>
                    <w:color w:val="414042"/>
                    <w:spacing w:val="61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Download.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6.836998pt;margin-top:71.282440pt;width:381.55pt;height:19.9pt;mso-position-horizontal-relative:page;mso-position-vertical-relative:page;z-index:-15777792" type="#_x0000_t202" id="docshape1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color w:val="231F20"/>
                    <w:sz w:val="32"/>
                    <w:u w:val="thick" w:color="231F20"/>
                  </w:rPr>
                  <w:t>„THE</w:t>
                </w:r>
                <w:r>
                  <w:rPr>
                    <w:color w:val="231F20"/>
                    <w:spacing w:val="-4"/>
                    <w:sz w:val="32"/>
                    <w:u w:val="thick" w:color="231F20"/>
                  </w:rPr>
                  <w:t> </w:t>
                </w:r>
                <w:r>
                  <w:rPr>
                    <w:color w:val="231F20"/>
                    <w:sz w:val="32"/>
                    <w:u w:val="thick" w:color="231F20"/>
                  </w:rPr>
                  <w:t>BAR</w:t>
                </w:r>
                <w:r>
                  <w:rPr>
                    <w:color w:val="231F20"/>
                    <w:spacing w:val="-3"/>
                    <w:sz w:val="32"/>
                    <w:u w:val="thick" w:color="231F20"/>
                  </w:rPr>
                  <w:t> </w:t>
                </w:r>
                <w:r>
                  <w:rPr>
                    <w:color w:val="231F20"/>
                    <w:sz w:val="32"/>
                    <w:u w:val="thick" w:color="231F20"/>
                  </w:rPr>
                  <w:t>COLLECTION“</w:t>
                </w:r>
                <w:r>
                  <w:rPr>
                    <w:color w:val="231F20"/>
                    <w:spacing w:val="-4"/>
                    <w:sz w:val="32"/>
                    <w:u w:val="thick" w:color="231F20"/>
                  </w:rPr>
                  <w:t> </w:t>
                </w:r>
                <w:r>
                  <w:rPr>
                    <w:color w:val="231F20"/>
                    <w:sz w:val="32"/>
                    <w:u w:val="thick" w:color="231F20"/>
                  </w:rPr>
                  <w:t>-</w:t>
                </w:r>
                <w:r>
                  <w:rPr>
                    <w:color w:val="231F20"/>
                    <w:spacing w:val="-4"/>
                    <w:sz w:val="32"/>
                    <w:u w:val="thick" w:color="231F20"/>
                  </w:rPr>
                  <w:t> </w:t>
                </w:r>
                <w:r>
                  <w:rPr>
                    <w:color w:val="231F20"/>
                    <w:sz w:val="32"/>
                    <w:u w:val="thick" w:color="231F20"/>
                  </w:rPr>
                  <w:t>Für</w:t>
                </w:r>
                <w:r>
                  <w:rPr>
                    <w:color w:val="231F20"/>
                    <w:spacing w:val="-3"/>
                    <w:sz w:val="32"/>
                    <w:u w:val="thick" w:color="231F20"/>
                  </w:rPr>
                  <w:t> </w:t>
                </w:r>
                <w:r>
                  <w:rPr>
                    <w:color w:val="231F20"/>
                    <w:sz w:val="32"/>
                    <w:u w:val="thick" w:color="231F20"/>
                  </w:rPr>
                  <w:t>Drinks</w:t>
                </w:r>
                <w:r>
                  <w:rPr>
                    <w:color w:val="231F20"/>
                    <w:spacing w:val="-4"/>
                    <w:sz w:val="32"/>
                    <w:u w:val="thick" w:color="231F20"/>
                  </w:rPr>
                  <w:t> </w:t>
                </w:r>
                <w:r>
                  <w:rPr>
                    <w:color w:val="231F20"/>
                    <w:sz w:val="32"/>
                    <w:u w:val="thick" w:color="231F20"/>
                  </w:rPr>
                  <w:t>mit</w:t>
                </w:r>
                <w:r>
                  <w:rPr>
                    <w:color w:val="231F20"/>
                    <w:spacing w:val="-4"/>
                    <w:sz w:val="32"/>
                    <w:u w:val="thick" w:color="231F20"/>
                  </w:rPr>
                  <w:t> </w:t>
                </w:r>
                <w:r>
                  <w:rPr>
                    <w:color w:val="231F20"/>
                    <w:sz w:val="32"/>
                    <w:u w:val="thick" w:color="231F20"/>
                  </w:rPr>
                  <w:t>Charakter!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de-DE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de-DE" w:eastAsia="en-US" w:bidi="ar-SA"/>
    </w:rPr>
  </w:style>
  <w:style w:styleId="Heading1" w:type="paragraph">
    <w:name w:val="Heading 1"/>
    <w:basedOn w:val="Normal"/>
    <w:uiPriority w:val="1"/>
    <w:qFormat/>
    <w:pPr>
      <w:ind w:left="110"/>
      <w:outlineLvl w:val="1"/>
    </w:pPr>
    <w:rPr>
      <w:rFonts w:ascii="Arial" w:hAnsi="Arial" w:eastAsia="Arial" w:cs="Arial"/>
      <w:b/>
      <w:bCs/>
      <w:sz w:val="22"/>
      <w:szCs w:val="22"/>
      <w:lang w:val="de-DE" w:eastAsia="en-US" w:bidi="ar-SA"/>
    </w:rPr>
  </w:style>
  <w:style w:styleId="Title" w:type="paragraph">
    <w:name w:val="Title"/>
    <w:basedOn w:val="Normal"/>
    <w:uiPriority w:val="1"/>
    <w:qFormat/>
    <w:pPr>
      <w:spacing w:before="9"/>
      <w:ind w:left="20"/>
    </w:pPr>
    <w:rPr>
      <w:rFonts w:ascii="Arial" w:hAnsi="Arial" w:eastAsia="Arial" w:cs="Arial"/>
      <w:sz w:val="32"/>
      <w:szCs w:val="32"/>
      <w:u w:val="single" w:color="000000"/>
      <w:lang w:val="de-DE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de-DE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de-DE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hyperlink" Target="http://WWW.ZIEHER.COM/" TargetMode="Externa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e@zieher.com" TargetMode="External"/><Relationship Id="rId2" Type="http://schemas.openxmlformats.org/officeDocument/2006/relationships/hyperlink" Target="http://www.zieher.com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2021-08-26T11:15:43Z</dcterms:created>
  <dcterms:modified xsi:type="dcterms:W3CDTF">2021-08-26T11:15:43Z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2021-08-26T00:00:00Z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2021-08-26T00:00:00Z</vt:filetime>
  </property>
</Properties>
</file>